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NLN Affiliated Constituent League</w:t>
      </w:r>
    </w:p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Policy and Procedure</w:t>
      </w:r>
    </w:p>
    <w:p w:rsidR="00CF3BBD" w:rsidRPr="005A389D" w:rsidRDefault="00CF3BBD" w:rsidP="00CF3BBD">
      <w:pPr>
        <w:pStyle w:val="Header"/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078"/>
        <w:gridCol w:w="6498"/>
      </w:tblGrid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number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BE1ECD" w:rsidP="00103688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4</w:t>
            </w:r>
            <w:r w:rsidR="00CF3BBD"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.</w:t>
            </w:r>
            <w:r w:rsidR="00103688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2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name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103688" w:rsidP="007F6BA4">
            <w:pPr>
              <w:pStyle w:val="Heading2"/>
              <w:rPr>
                <w:rFonts w:ascii="HelveticaNeueLT Std Cn" w:hAnsi="HelveticaNeueLT Std Cn" w:cs="Arial"/>
                <w:szCs w:val="22"/>
              </w:rPr>
            </w:pPr>
            <w:r>
              <w:rPr>
                <w:rFonts w:ascii="HelveticaNeueLT Std Cn" w:hAnsi="HelveticaNeueLT Std Cn" w:cs="Arial"/>
                <w:szCs w:val="22"/>
              </w:rPr>
              <w:t>Unrelated Business Income (UBIT)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date of origin</w:t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er"/>
              <w:tabs>
                <w:tab w:val="clear" w:pos="4320"/>
                <w:tab w:val="clear" w:pos="8640"/>
              </w:tabs>
              <w:rPr>
                <w:rFonts w:ascii="HelveticaNeueLT Std Cn" w:hAnsi="HelveticaNeueLT Std Cn" w:cs="Arial"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z w:val="22"/>
                <w:szCs w:val="22"/>
              </w:rPr>
              <w:t>(Date)</w:t>
            </w:r>
          </w:p>
        </w:tc>
      </w:tr>
      <w:tr w:rsidR="00CF3BBD" w:rsidRPr="005A389D" w:rsidTr="000668F7">
        <w:tc>
          <w:tcPr>
            <w:tcW w:w="3078" w:type="dxa"/>
            <w:tcBorders>
              <w:bottom w:val="thinThickSmallGap" w:sz="12" w:space="0" w:color="auto"/>
            </w:tcBorders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purpose</w:t>
            </w: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  <w:tc>
          <w:tcPr>
            <w:tcW w:w="6498" w:type="dxa"/>
            <w:tcBorders>
              <w:bottom w:val="thinThickSmallGap" w:sz="12" w:space="0" w:color="auto"/>
            </w:tcBorders>
          </w:tcPr>
          <w:p w:rsidR="00B26250" w:rsidRPr="007F6BA4" w:rsidRDefault="00B26250" w:rsidP="007F6BA4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</w:tr>
      <w:tr w:rsidR="00CF3BBD" w:rsidRPr="005A389D" w:rsidTr="000668F7">
        <w:trPr>
          <w:trHeight w:val="6111"/>
        </w:trPr>
        <w:tc>
          <w:tcPr>
            <w:tcW w:w="3078" w:type="dxa"/>
          </w:tcPr>
          <w:p w:rsidR="00CF3BBD" w:rsidRPr="005A389D" w:rsidRDefault="00CF3BBD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CF3BB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360"/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policy</w:t>
            </w:r>
          </w:p>
        </w:tc>
        <w:tc>
          <w:tcPr>
            <w:tcW w:w="6498" w:type="dxa"/>
          </w:tcPr>
          <w:p w:rsidR="00103688" w:rsidRPr="00103688" w:rsidRDefault="00103688" w:rsidP="00103688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BC1F54" w:rsidRPr="00BE1ECD" w:rsidRDefault="00103688" w:rsidP="00103688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103688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</w:t>
            </w:r>
            <w:r w:rsidRPr="00103688">
              <w:rPr>
                <w:rFonts w:ascii="HelveticaNeueLT Std Cn" w:hAnsi="HelveticaNeueLT Std Cn"/>
                <w:sz w:val="22"/>
                <w:szCs w:val="22"/>
              </w:rPr>
              <w:t xml:space="preserve"> </w:t>
            </w:r>
            <w:r>
              <w:rPr>
                <w:rFonts w:ascii="HelveticaNeueLT Std Cn" w:hAnsi="HelveticaNeueLT Std Cn"/>
                <w:sz w:val="22"/>
                <w:szCs w:val="22"/>
              </w:rPr>
              <w:t xml:space="preserve">League for Nursing </w:t>
            </w:r>
            <w:r w:rsidRPr="00103688">
              <w:rPr>
                <w:rFonts w:ascii="HelveticaNeueLT Std Cn" w:hAnsi="HelveticaNeueLT Std Cn"/>
                <w:sz w:val="22"/>
                <w:szCs w:val="22"/>
              </w:rPr>
              <w:t>must identify and report unrelated business income on its annual tax return, and remit any tax due in compliance with federal, state, and local tax laws and regulations.</w:t>
            </w:r>
            <w:r>
              <w:rPr>
                <w:rFonts w:ascii="HelveticaNeueLT Std Cn" w:hAnsi="HelveticaNeueLT Std Cn"/>
                <w:sz w:val="22"/>
                <w:szCs w:val="22"/>
              </w:rPr>
              <w:t xml:space="preserve"> If</w:t>
            </w:r>
            <w:r w:rsidRPr="00103688">
              <w:rPr>
                <w:rFonts w:ascii="HelveticaNeueLT Std Cn" w:hAnsi="HelveticaNeueLT Std Cn"/>
                <w:sz w:val="22"/>
                <w:szCs w:val="22"/>
              </w:rPr>
              <w:t xml:space="preserve"> </w:t>
            </w:r>
            <w:r w:rsidRPr="00103688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</w:t>
            </w:r>
            <w:r w:rsidRPr="00103688">
              <w:rPr>
                <w:rFonts w:ascii="HelveticaNeueLT Std Cn" w:hAnsi="HelveticaNeueLT Std Cn"/>
                <w:sz w:val="22"/>
                <w:szCs w:val="22"/>
              </w:rPr>
              <w:t xml:space="preserve"> </w:t>
            </w:r>
            <w:r>
              <w:rPr>
                <w:rFonts w:ascii="HelveticaNeueLT Std Cn" w:hAnsi="HelveticaNeueLT Std Cn"/>
                <w:sz w:val="22"/>
                <w:szCs w:val="22"/>
              </w:rPr>
              <w:t>has programs</w:t>
            </w:r>
            <w:r w:rsidRPr="00103688">
              <w:rPr>
                <w:rFonts w:ascii="HelveticaNeueLT Std Cn" w:hAnsi="HelveticaNeueLT Std Cn"/>
                <w:sz w:val="22"/>
                <w:szCs w:val="22"/>
              </w:rPr>
              <w:t xml:space="preserve"> generating income that do not directly further </w:t>
            </w:r>
            <w:r w:rsidRPr="00103688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XYZ’s</w:t>
            </w:r>
            <w:r w:rsidRPr="00103688">
              <w:rPr>
                <w:rFonts w:ascii="HelveticaNeueLT Std Cn" w:hAnsi="HelveticaNeueLT Std Cn"/>
                <w:sz w:val="22"/>
                <w:szCs w:val="22"/>
              </w:rPr>
              <w:t xml:space="preserve"> tax exempt </w:t>
            </w:r>
            <w:r>
              <w:rPr>
                <w:rFonts w:ascii="HelveticaNeueLT Std Cn" w:hAnsi="HelveticaNeueLT Std Cn"/>
                <w:sz w:val="22"/>
                <w:szCs w:val="22"/>
              </w:rPr>
              <w:t xml:space="preserve">educational </w:t>
            </w:r>
            <w:r w:rsidRPr="00103688">
              <w:rPr>
                <w:rFonts w:ascii="HelveticaNeueLT Std Cn" w:hAnsi="HelveticaNeueLT Std Cn"/>
                <w:sz w:val="22"/>
                <w:szCs w:val="22"/>
              </w:rPr>
              <w:t>purpose</w:t>
            </w:r>
            <w:r>
              <w:rPr>
                <w:rFonts w:ascii="HelveticaNeueLT Std Cn" w:hAnsi="HelveticaNeueLT Std Cn"/>
                <w:sz w:val="22"/>
                <w:szCs w:val="22"/>
              </w:rPr>
              <w:t xml:space="preserve">, </w:t>
            </w:r>
            <w:bookmarkStart w:id="0" w:name="_GoBack"/>
            <w:bookmarkEnd w:id="0"/>
            <w:r w:rsidRPr="00103688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 treasurer or staff</w:t>
            </w:r>
            <w:r w:rsidRPr="00103688">
              <w:rPr>
                <w:rFonts w:ascii="HelveticaNeueLT Std Cn" w:hAnsi="HelveticaNeueLT Std Cn"/>
                <w:sz w:val="22"/>
                <w:szCs w:val="22"/>
              </w:rPr>
              <w:t xml:space="preserve"> must contact </w:t>
            </w:r>
            <w:r>
              <w:rPr>
                <w:rFonts w:ascii="HelveticaNeueLT Std Cn" w:hAnsi="HelveticaNeueLT Std Cn"/>
                <w:sz w:val="22"/>
                <w:szCs w:val="22"/>
              </w:rPr>
              <w:t>their accountant</w:t>
            </w:r>
            <w:r w:rsidRPr="00103688">
              <w:rPr>
                <w:rFonts w:ascii="HelveticaNeueLT Std Cn" w:hAnsi="HelveticaNeueLT Std Cn"/>
                <w:sz w:val="22"/>
                <w:szCs w:val="22"/>
              </w:rPr>
              <w:t xml:space="preserve"> to determine if such income is subject to unrelated business income tax.</w:t>
            </w:r>
          </w:p>
        </w:tc>
      </w:tr>
      <w:tr w:rsidR="000668F7" w:rsidRPr="000668F7" w:rsidTr="00F67DBE">
        <w:trPr>
          <w:trHeight w:val="260"/>
        </w:trPr>
        <w:tc>
          <w:tcPr>
            <w:tcW w:w="3078" w:type="dxa"/>
          </w:tcPr>
          <w:p w:rsidR="000668F7" w:rsidRPr="000668F7" w:rsidRDefault="000668F7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</w:tc>
        <w:tc>
          <w:tcPr>
            <w:tcW w:w="6498" w:type="dxa"/>
          </w:tcPr>
          <w:p w:rsidR="000668F7" w:rsidRPr="000668F7" w:rsidRDefault="000668F7" w:rsidP="000668F7">
            <w:pPr>
              <w:rPr>
                <w:rFonts w:ascii="HelveticaNeueLT Std Cn" w:hAnsi="HelveticaNeueLT Std Cn"/>
                <w:sz w:val="22"/>
                <w:szCs w:val="22"/>
                <w:highlight w:val="lightGray"/>
              </w:rPr>
            </w:pPr>
          </w:p>
        </w:tc>
      </w:tr>
    </w:tbl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</w:p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  <w:r w:rsidRPr="000668F7">
        <w:rPr>
          <w:rFonts w:ascii="HelveticaNeueLT Std Cn" w:hAnsi="HelveticaNeueLT Std Cn" w:cs="Arial"/>
          <w:sz w:val="22"/>
          <w:szCs w:val="22"/>
        </w:rPr>
        <w:t>Revision Dates:</w:t>
      </w:r>
    </w:p>
    <w:p w:rsidR="00CF3BBD" w:rsidRPr="000668F7" w:rsidRDefault="00CF3BBD" w:rsidP="00B247B2">
      <w:pPr>
        <w:pStyle w:val="Header"/>
        <w:tabs>
          <w:tab w:val="clear" w:pos="4320"/>
          <w:tab w:val="clear" w:pos="8640"/>
        </w:tabs>
        <w:ind w:left="720"/>
        <w:rPr>
          <w:rFonts w:ascii="HelveticaNeueLT Std Cn" w:hAnsi="HelveticaNeueLT Std Cn" w:cs="Arial"/>
          <w:sz w:val="22"/>
          <w:szCs w:val="22"/>
        </w:rPr>
      </w:pPr>
    </w:p>
    <w:p w:rsidR="000668F7" w:rsidRPr="000668F7" w:rsidRDefault="000668F7" w:rsidP="00B247B2">
      <w:pPr>
        <w:pStyle w:val="Header"/>
        <w:tabs>
          <w:tab w:val="clear" w:pos="4320"/>
          <w:tab w:val="clear" w:pos="8640"/>
        </w:tabs>
        <w:ind w:left="360"/>
        <w:rPr>
          <w:rFonts w:ascii="HelveticaNeueLT Std Cn" w:hAnsi="HelveticaNeueLT Std Cn" w:cs="Arial"/>
          <w:sz w:val="22"/>
          <w:szCs w:val="22"/>
        </w:rPr>
      </w:pPr>
    </w:p>
    <w:sectPr w:rsidR="000668F7" w:rsidRPr="000668F7" w:rsidSect="000668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8F7" w:rsidRDefault="000668F7" w:rsidP="00CF3BBD">
      <w:r>
        <w:separator/>
      </w:r>
    </w:p>
  </w:endnote>
  <w:endnote w:type="continuationSeparator" w:id="0">
    <w:p w:rsidR="000668F7" w:rsidRDefault="000668F7" w:rsidP="00C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8F7" w:rsidRDefault="000668F7" w:rsidP="00CF3BBD">
      <w:r>
        <w:separator/>
      </w:r>
    </w:p>
  </w:footnote>
  <w:footnote w:type="continuationSeparator" w:id="0">
    <w:p w:rsidR="000668F7" w:rsidRDefault="000668F7" w:rsidP="00CF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F7" w:rsidRPr="00AB52BF" w:rsidRDefault="000668F7" w:rsidP="00CF3BBD">
    <w:pPr>
      <w:tabs>
        <w:tab w:val="center" w:pos="4320"/>
        <w:tab w:val="right" w:pos="9450"/>
      </w:tabs>
      <w:ind w:right="-90"/>
      <w:jc w:val="right"/>
      <w:rPr>
        <w:rFonts w:ascii="HelveticaNeueLT Std Cn" w:hAnsi="HelveticaNeueLT Std Cn" w:cs="Arial"/>
        <w:i/>
      </w:rPr>
    </w:pPr>
    <w:r w:rsidRPr="00AB52BF">
      <w:rPr>
        <w:rFonts w:ascii="HelveticaNeueLT Std Cn" w:hAnsi="HelveticaNeueLT Std Cn" w:cs="Arial"/>
        <w:i/>
      </w:rPr>
      <w:t xml:space="preserve">NLN Affiliated Constituent League Policy Manual/Section </w:t>
    </w:r>
    <w:r w:rsidR="00BE1ECD">
      <w:rPr>
        <w:rFonts w:ascii="HelveticaNeueLT Std Cn" w:hAnsi="HelveticaNeueLT Std Cn" w:cs="Arial"/>
        <w:i/>
      </w:rPr>
      <w:t>4</w:t>
    </w:r>
    <w:r>
      <w:rPr>
        <w:rFonts w:ascii="HelveticaNeueLT Std Cn" w:hAnsi="HelveticaNeueLT Std Cn" w:cs="Arial"/>
        <w:i/>
      </w:rPr>
      <w:t>/</w:t>
    </w:r>
    <w:r w:rsidR="00BE1ECD">
      <w:rPr>
        <w:rFonts w:ascii="HelveticaNeueLT Std Cn" w:hAnsi="HelveticaNeueLT Std Cn" w:cs="Arial"/>
        <w:i/>
      </w:rPr>
      <w:t>Finance</w:t>
    </w:r>
  </w:p>
  <w:p w:rsidR="000668F7" w:rsidRPr="00AB52BF" w:rsidRDefault="000668F7">
    <w:pPr>
      <w:pStyle w:val="Header"/>
      <w:rPr>
        <w:rFonts w:ascii="HelveticaNeueLT Std Cn" w:hAnsi="HelveticaNeueLT Std 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38"/>
    <w:multiLevelType w:val="multilevel"/>
    <w:tmpl w:val="B4300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343066"/>
    <w:multiLevelType w:val="hybridMultilevel"/>
    <w:tmpl w:val="03FAE526"/>
    <w:lvl w:ilvl="0" w:tplc="8B7211C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74336"/>
    <w:multiLevelType w:val="hybridMultilevel"/>
    <w:tmpl w:val="58F29C5E"/>
    <w:lvl w:ilvl="0" w:tplc="D31EC2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679A5"/>
    <w:multiLevelType w:val="hybridMultilevel"/>
    <w:tmpl w:val="27C86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141F6"/>
    <w:multiLevelType w:val="multilevel"/>
    <w:tmpl w:val="82CA12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41BE683C"/>
    <w:multiLevelType w:val="hybridMultilevel"/>
    <w:tmpl w:val="F600E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37CAA"/>
    <w:multiLevelType w:val="hybridMultilevel"/>
    <w:tmpl w:val="AD3A2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617C37"/>
    <w:multiLevelType w:val="hybridMultilevel"/>
    <w:tmpl w:val="27DC7AB8"/>
    <w:lvl w:ilvl="0" w:tplc="4AD416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F30FC7"/>
    <w:multiLevelType w:val="hybridMultilevel"/>
    <w:tmpl w:val="0602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B5867"/>
    <w:multiLevelType w:val="hybridMultilevel"/>
    <w:tmpl w:val="4BFE9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AF766F"/>
    <w:multiLevelType w:val="hybridMultilevel"/>
    <w:tmpl w:val="63202A30"/>
    <w:lvl w:ilvl="0" w:tplc="2480C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8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BF"/>
    <w:rsid w:val="000668F7"/>
    <w:rsid w:val="00103688"/>
    <w:rsid w:val="00117607"/>
    <w:rsid w:val="002D442E"/>
    <w:rsid w:val="00363612"/>
    <w:rsid w:val="00551B45"/>
    <w:rsid w:val="005A389D"/>
    <w:rsid w:val="0065166B"/>
    <w:rsid w:val="007F6BA4"/>
    <w:rsid w:val="00804F0F"/>
    <w:rsid w:val="008A769D"/>
    <w:rsid w:val="008F2C50"/>
    <w:rsid w:val="009A36BF"/>
    <w:rsid w:val="00AB52BF"/>
    <w:rsid w:val="00B247B2"/>
    <w:rsid w:val="00B26250"/>
    <w:rsid w:val="00B87870"/>
    <w:rsid w:val="00BC1F54"/>
    <w:rsid w:val="00BE1ECD"/>
    <w:rsid w:val="00CF3BBD"/>
    <w:rsid w:val="00E82C4B"/>
    <w:rsid w:val="00F30522"/>
    <w:rsid w:val="00F6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mbership%20and%20Recognition%20Programs\Constituent%20Leagues\Governance\CL%20Policy%20Manual\NLN%20CL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4CCAAB2D8B94C9E80AEE0F968D4E3" ma:contentTypeVersion="16" ma:contentTypeDescription="Create a new document." ma:contentTypeScope="" ma:versionID="5a785c5a46ee5c393673cc65ccc77a63">
  <xsd:schema xmlns:xsd="http://www.w3.org/2001/XMLSchema" xmlns:xs="http://www.w3.org/2001/XMLSchema" xmlns:p="http://schemas.microsoft.com/office/2006/metadata/properties" xmlns:ns2="115335aa-b14d-43fc-bc3f-f6c2eb8e2e98" xmlns:ns3="e6718f48-bae5-4a3b-98de-cc0791a0f4dd" targetNamespace="http://schemas.microsoft.com/office/2006/metadata/properties" ma:root="true" ma:fieldsID="99a90fa103fbd9ba25f229344b80e0c3" ns2:_="" ns3:_="">
    <xsd:import namespace="115335aa-b14d-43fc-bc3f-f6c2eb8e2e98"/>
    <xsd:import namespace="e6718f48-bae5-4a3b-98de-cc0791a0f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335aa-b14d-43fc-bc3f-f6c2eb8e2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d5b859-ebfe-4755-9808-2198ae9c6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18f48-bae5-4a3b-98de-cc0791a0f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0d4528-3686-4f84-afe0-82a3c1291408}" ma:internalName="TaxCatchAll" ma:showField="CatchAllData" ma:web="e6718f48-bae5-4a3b-98de-cc0791a0f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5335aa-b14d-43fc-bc3f-f6c2eb8e2e98">
      <Terms xmlns="http://schemas.microsoft.com/office/infopath/2007/PartnerControls"/>
    </lcf76f155ced4ddcb4097134ff3c332f>
    <TaxCatchAll xmlns="e6718f48-bae5-4a3b-98de-cc0791a0f4dd" xsi:nil="true"/>
  </documentManagement>
</p:properties>
</file>

<file path=customXml/itemProps1.xml><?xml version="1.0" encoding="utf-8"?>
<ds:datastoreItem xmlns:ds="http://schemas.openxmlformats.org/officeDocument/2006/customXml" ds:itemID="{B1ED9FF1-D6C6-4768-B8B8-A058D5760683}"/>
</file>

<file path=customXml/itemProps2.xml><?xml version="1.0" encoding="utf-8"?>
<ds:datastoreItem xmlns:ds="http://schemas.openxmlformats.org/officeDocument/2006/customXml" ds:itemID="{4A33047A-3377-49E5-B930-A07E730D3B1F}"/>
</file>

<file path=customXml/itemProps3.xml><?xml version="1.0" encoding="utf-8"?>
<ds:datastoreItem xmlns:ds="http://schemas.openxmlformats.org/officeDocument/2006/customXml" ds:itemID="{C94F879F-57F4-463A-AE0D-A7D59C30378B}"/>
</file>

<file path=docProps/app.xml><?xml version="1.0" encoding="utf-8"?>
<Properties xmlns="http://schemas.openxmlformats.org/officeDocument/2006/extended-properties" xmlns:vt="http://schemas.openxmlformats.org/officeDocument/2006/docPropsVTypes">
  <Template>NLN CL Policy Template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Chrissy Ward</dc:creator>
  <cp:lastModifiedBy>Chrissy Ward</cp:lastModifiedBy>
  <cp:revision>2</cp:revision>
  <dcterms:created xsi:type="dcterms:W3CDTF">2015-11-30T19:58:00Z</dcterms:created>
  <dcterms:modified xsi:type="dcterms:W3CDTF">2015-11-30T19:58:00Z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0x010100FB84CCAAB2D8B94C9E80AEE0F968D4E3</vt:lpwstr>
  </property>
  <property fmtid="{D5CDD505-2E9C-101B-9397-08002B2CF9AE}" pid="3" name="Order">
    <vt:r8>100</vt:r8>
  </property>
</Properties>
</file>