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NLN Affiliated Constituent League</w:t>
      </w:r>
    </w:p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Policy and Procedure</w:t>
      </w:r>
    </w:p>
    <w:p w:rsidR="00CF3BBD" w:rsidRPr="005A389D" w:rsidRDefault="00CF3BBD" w:rsidP="00CF3BBD">
      <w:pPr>
        <w:pStyle w:val="Header"/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078"/>
        <w:gridCol w:w="6498"/>
      </w:tblGrid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number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BE1ECD" w:rsidP="001E0F2C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4</w:t>
            </w:r>
            <w:r w:rsidR="00CF3BBD"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.</w:t>
            </w:r>
            <w:r w:rsidR="001E0F2C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4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name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1E0F2C" w:rsidP="007F6BA4">
            <w:pPr>
              <w:pStyle w:val="Heading2"/>
              <w:rPr>
                <w:rFonts w:ascii="HelveticaNeueLT Std Cn" w:hAnsi="HelveticaNeueLT Std Cn" w:cs="Arial"/>
                <w:szCs w:val="22"/>
              </w:rPr>
            </w:pPr>
            <w:r>
              <w:rPr>
                <w:rFonts w:ascii="HelveticaNeueLT Std Cn" w:hAnsi="HelveticaNeueLT Std Cn" w:cs="Arial"/>
                <w:szCs w:val="22"/>
              </w:rPr>
              <w:t>Financial Controls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date of origin</w:t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er"/>
              <w:tabs>
                <w:tab w:val="clear" w:pos="4320"/>
                <w:tab w:val="clear" w:pos="8640"/>
              </w:tabs>
              <w:rPr>
                <w:rFonts w:ascii="HelveticaNeueLT Std Cn" w:hAnsi="HelveticaNeueLT Std Cn" w:cs="Arial"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z w:val="22"/>
                <w:szCs w:val="22"/>
              </w:rPr>
              <w:t>(Date)</w:t>
            </w:r>
          </w:p>
        </w:tc>
      </w:tr>
      <w:tr w:rsidR="00CF3BBD" w:rsidRPr="005A389D" w:rsidTr="000668F7">
        <w:tc>
          <w:tcPr>
            <w:tcW w:w="3078" w:type="dxa"/>
            <w:tcBorders>
              <w:bottom w:val="thinThickSmallGap" w:sz="12" w:space="0" w:color="auto"/>
            </w:tcBorders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purpose</w:t>
            </w: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  <w:tc>
          <w:tcPr>
            <w:tcW w:w="6498" w:type="dxa"/>
            <w:tcBorders>
              <w:bottom w:val="thinThickSmallGap" w:sz="12" w:space="0" w:color="auto"/>
            </w:tcBorders>
          </w:tcPr>
          <w:p w:rsidR="001E0F2C" w:rsidRDefault="001E0F2C" w:rsidP="007F6BA4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B26250" w:rsidRPr="007F6BA4" w:rsidRDefault="001E0F2C" w:rsidP="007F6BA4">
            <w:pPr>
              <w:rPr>
                <w:rFonts w:ascii="HelveticaNeueLT Std Cn" w:hAnsi="HelveticaNeueLT Std Cn" w:cs="Arial"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sz w:val="22"/>
                <w:szCs w:val="22"/>
              </w:rPr>
              <w:t>P</w:t>
            </w:r>
            <w:r w:rsidRPr="001E0F2C">
              <w:rPr>
                <w:rFonts w:ascii="HelveticaNeueLT Std Cn" w:hAnsi="HelveticaNeueLT Std Cn" w:cs="Arial"/>
                <w:sz w:val="22"/>
                <w:szCs w:val="22"/>
              </w:rPr>
              <w:t>olicy covers check signing, withdrawal of funds, and deposits, and requires the check signers to be bonded.</w:t>
            </w:r>
          </w:p>
        </w:tc>
      </w:tr>
      <w:tr w:rsidR="00CF3BBD" w:rsidRPr="005A389D" w:rsidTr="000668F7">
        <w:trPr>
          <w:trHeight w:val="6111"/>
        </w:trPr>
        <w:tc>
          <w:tcPr>
            <w:tcW w:w="3078" w:type="dxa"/>
          </w:tcPr>
          <w:p w:rsidR="00CF3BBD" w:rsidRPr="005A389D" w:rsidRDefault="00CF3BBD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CF3BB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360"/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policy</w:t>
            </w:r>
          </w:p>
        </w:tc>
        <w:tc>
          <w:tcPr>
            <w:tcW w:w="6498" w:type="dxa"/>
          </w:tcPr>
          <w:p w:rsidR="00BC1F54" w:rsidRDefault="00BC1F54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1E0F2C" w:rsidRPr="001E0F2C" w:rsidRDefault="001E0F2C" w:rsidP="001E0F2C">
            <w:pPr>
              <w:rPr>
                <w:rFonts w:ascii="HelveticaNeueLT Std Cn" w:hAnsi="HelveticaNeueLT Std Cn"/>
                <w:b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b/>
                <w:sz w:val="22"/>
                <w:szCs w:val="22"/>
              </w:rPr>
              <w:t>Accounts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</w:t>
            </w:r>
            <w:r w:rsidRPr="001E0F2C">
              <w:rPr>
                <w:rFonts w:ascii="HelveticaNeueLT Std Cn" w:hAnsi="HelveticaNeueLT Std Cn"/>
                <w:sz w:val="22"/>
                <w:szCs w:val="22"/>
              </w:rPr>
              <w:t xml:space="preserve"> shall maintain its accounts in financial institutions that are federally insured. All funds received by </w:t>
            </w:r>
            <w:r w:rsidRPr="001E0F2C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</w:t>
            </w:r>
            <w:r w:rsidR="00112371">
              <w:rPr>
                <w:rFonts w:ascii="HelveticaNeueLT Std Cn" w:hAnsi="HelveticaNeueLT Std Cn"/>
                <w:sz w:val="22"/>
                <w:szCs w:val="22"/>
              </w:rPr>
              <w:t xml:space="preserve"> shall be deposited as soon as possible</w:t>
            </w:r>
            <w:bookmarkStart w:id="0" w:name="_GoBack"/>
            <w:bookmarkEnd w:id="0"/>
            <w:r w:rsidRPr="001E0F2C">
              <w:rPr>
                <w:rFonts w:ascii="HelveticaNeueLT Std Cn" w:hAnsi="HelveticaNeueLT Std Cn"/>
                <w:sz w:val="22"/>
                <w:szCs w:val="22"/>
              </w:rPr>
              <w:t>. All nonproductive funds shall be invested in accordance with the investment policy established by the board.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1E0F2C" w:rsidRPr="001E0F2C" w:rsidRDefault="001E0F2C" w:rsidP="001E0F2C">
            <w:pPr>
              <w:rPr>
                <w:rFonts w:ascii="HelveticaNeueLT Std Cn" w:hAnsi="HelveticaNeueLT Std Cn"/>
                <w:b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b/>
                <w:sz w:val="22"/>
                <w:szCs w:val="22"/>
              </w:rPr>
              <w:t>Authority To Sign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sz w:val="22"/>
                <w:szCs w:val="22"/>
              </w:rPr>
              <w:t>Orders of withdrawal shall bear the signature of one of the following officers or staff members: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sz w:val="22"/>
                <w:szCs w:val="22"/>
              </w:rPr>
              <w:t>•</w:t>
            </w:r>
            <w:r w:rsidRPr="001E0F2C">
              <w:rPr>
                <w:rFonts w:ascii="HelveticaNeueLT Std Cn" w:hAnsi="HelveticaNeueLT Std Cn"/>
                <w:sz w:val="22"/>
                <w:szCs w:val="22"/>
              </w:rPr>
              <w:tab/>
              <w:t xml:space="preserve">Board </w:t>
            </w:r>
            <w:r w:rsidR="002476AD">
              <w:rPr>
                <w:rFonts w:ascii="HelveticaNeueLT Std Cn" w:hAnsi="HelveticaNeueLT Std Cn"/>
                <w:sz w:val="22"/>
                <w:szCs w:val="22"/>
              </w:rPr>
              <w:t>president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sz w:val="22"/>
                <w:szCs w:val="22"/>
              </w:rPr>
              <w:t>•</w:t>
            </w:r>
            <w:r w:rsidRPr="001E0F2C">
              <w:rPr>
                <w:rFonts w:ascii="HelveticaNeueLT Std Cn" w:hAnsi="HelveticaNeueLT Std Cn"/>
                <w:sz w:val="22"/>
                <w:szCs w:val="22"/>
              </w:rPr>
              <w:tab/>
              <w:t>Treasurer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sz w:val="22"/>
                <w:szCs w:val="22"/>
              </w:rPr>
              <w:t>•</w:t>
            </w:r>
            <w:r w:rsidRPr="001E0F2C">
              <w:rPr>
                <w:rFonts w:ascii="HelveticaNeueLT Std Cn" w:hAnsi="HelveticaNeueLT Std Cn"/>
                <w:sz w:val="22"/>
                <w:szCs w:val="22"/>
              </w:rPr>
              <w:tab/>
              <w:t>Chief executive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sz w:val="22"/>
                <w:szCs w:val="22"/>
              </w:rPr>
              <w:t>•</w:t>
            </w:r>
            <w:r w:rsidRPr="001E0F2C">
              <w:rPr>
                <w:rFonts w:ascii="HelveticaNeueLT Std Cn" w:hAnsi="HelveticaNeueLT Std Cn"/>
                <w:sz w:val="22"/>
                <w:szCs w:val="22"/>
              </w:rPr>
              <w:tab/>
              <w:t xml:space="preserve">Two staff members, as designated by the board 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sz w:val="22"/>
                <w:szCs w:val="22"/>
              </w:rPr>
              <w:t xml:space="preserve">In addition, any checks issued over </w:t>
            </w:r>
            <w:r w:rsidRPr="001E0F2C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$__</w:t>
            </w:r>
            <w:r w:rsidRPr="001E0F2C">
              <w:rPr>
                <w:rFonts w:ascii="HelveticaNeueLT Std Cn" w:hAnsi="HelveticaNeueLT Std Cn"/>
                <w:sz w:val="22"/>
                <w:szCs w:val="22"/>
              </w:rPr>
              <w:t xml:space="preserve"> shall require two signatures, and any checks payable to any one of the above-named persons shall be signed by someone other than the payee.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1E0F2C" w:rsidRPr="001E0F2C" w:rsidRDefault="001E0F2C" w:rsidP="001E0F2C">
            <w:pPr>
              <w:rPr>
                <w:rFonts w:ascii="HelveticaNeueLT Std Cn" w:hAnsi="HelveticaNeueLT Std Cn"/>
                <w:b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b/>
                <w:sz w:val="22"/>
                <w:szCs w:val="22"/>
              </w:rPr>
              <w:t>Bonding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sz w:val="22"/>
                <w:szCs w:val="22"/>
              </w:rPr>
              <w:t xml:space="preserve">Each officer or designated signatory with authority to withdraw funds shall be bonded. The cost associated to secure the aforementioned coverage shall be that of </w:t>
            </w:r>
            <w:r w:rsidRPr="001E0F2C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</w:t>
            </w:r>
            <w:r w:rsidRPr="001E0F2C">
              <w:rPr>
                <w:rFonts w:ascii="HelveticaNeueLT Std Cn" w:hAnsi="HelveticaNeueLT Std Cn"/>
                <w:sz w:val="22"/>
                <w:szCs w:val="22"/>
              </w:rPr>
              <w:t>. The amount of insurance coverage will be reviewed annually by the finance committee.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1E0F2C" w:rsidRPr="001E0F2C" w:rsidRDefault="001E0F2C" w:rsidP="001E0F2C">
            <w:pPr>
              <w:rPr>
                <w:rFonts w:ascii="HelveticaNeueLT Std Cn" w:hAnsi="HelveticaNeueLT Std Cn"/>
                <w:b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b/>
                <w:sz w:val="22"/>
                <w:szCs w:val="22"/>
              </w:rPr>
              <w:t>Quarterly Review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sz w:val="22"/>
                <w:szCs w:val="22"/>
              </w:rPr>
              <w:t xml:space="preserve">The finance committee shall, on a quarterly basis, review all disbursements in the amount of </w:t>
            </w:r>
            <w:r w:rsidRPr="001E0F2C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$__</w:t>
            </w:r>
            <w:r w:rsidRPr="001E0F2C">
              <w:rPr>
                <w:rFonts w:ascii="HelveticaNeueLT Std Cn" w:hAnsi="HelveticaNeueLT Std Cn"/>
                <w:sz w:val="22"/>
                <w:szCs w:val="22"/>
              </w:rPr>
              <w:t xml:space="preserve"> or more.</w:t>
            </w:r>
          </w:p>
        </w:tc>
      </w:tr>
      <w:tr w:rsidR="000668F7" w:rsidRPr="000668F7" w:rsidTr="00F67DBE">
        <w:trPr>
          <w:trHeight w:val="260"/>
        </w:trPr>
        <w:tc>
          <w:tcPr>
            <w:tcW w:w="3078" w:type="dxa"/>
          </w:tcPr>
          <w:p w:rsidR="000668F7" w:rsidRPr="000668F7" w:rsidRDefault="000668F7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</w:tc>
        <w:tc>
          <w:tcPr>
            <w:tcW w:w="6498" w:type="dxa"/>
          </w:tcPr>
          <w:p w:rsidR="000668F7" w:rsidRPr="000668F7" w:rsidRDefault="000668F7" w:rsidP="000668F7">
            <w:pPr>
              <w:rPr>
                <w:rFonts w:ascii="HelveticaNeueLT Std Cn" w:hAnsi="HelveticaNeueLT Std Cn"/>
                <w:sz w:val="22"/>
                <w:szCs w:val="22"/>
                <w:highlight w:val="lightGray"/>
              </w:rPr>
            </w:pPr>
          </w:p>
        </w:tc>
      </w:tr>
    </w:tbl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</w:p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  <w:r w:rsidRPr="000668F7">
        <w:rPr>
          <w:rFonts w:ascii="HelveticaNeueLT Std Cn" w:hAnsi="HelveticaNeueLT Std Cn" w:cs="Arial"/>
          <w:sz w:val="22"/>
          <w:szCs w:val="22"/>
        </w:rPr>
        <w:t>Revision Dates:</w:t>
      </w:r>
    </w:p>
    <w:p w:rsidR="00CF3BBD" w:rsidRPr="000668F7" w:rsidRDefault="00CF3BBD" w:rsidP="00B247B2">
      <w:pPr>
        <w:pStyle w:val="Header"/>
        <w:tabs>
          <w:tab w:val="clear" w:pos="4320"/>
          <w:tab w:val="clear" w:pos="8640"/>
        </w:tabs>
        <w:ind w:left="720"/>
        <w:rPr>
          <w:rFonts w:ascii="HelveticaNeueLT Std Cn" w:hAnsi="HelveticaNeueLT Std Cn" w:cs="Arial"/>
          <w:sz w:val="22"/>
          <w:szCs w:val="22"/>
        </w:rPr>
      </w:pPr>
    </w:p>
    <w:p w:rsidR="000668F7" w:rsidRPr="000668F7" w:rsidRDefault="000668F7" w:rsidP="00B247B2">
      <w:pPr>
        <w:pStyle w:val="Header"/>
        <w:tabs>
          <w:tab w:val="clear" w:pos="4320"/>
          <w:tab w:val="clear" w:pos="8640"/>
        </w:tabs>
        <w:ind w:left="360"/>
        <w:rPr>
          <w:rFonts w:ascii="HelveticaNeueLT Std Cn" w:hAnsi="HelveticaNeueLT Std Cn" w:cs="Arial"/>
          <w:sz w:val="22"/>
          <w:szCs w:val="22"/>
        </w:rPr>
      </w:pPr>
    </w:p>
    <w:sectPr w:rsidR="000668F7" w:rsidRPr="000668F7" w:rsidSect="000668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8F7" w:rsidRDefault="000668F7" w:rsidP="00CF3BBD">
      <w:r>
        <w:separator/>
      </w:r>
    </w:p>
  </w:endnote>
  <w:endnote w:type="continuationSeparator" w:id="0">
    <w:p w:rsidR="000668F7" w:rsidRDefault="000668F7" w:rsidP="00C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8F7" w:rsidRDefault="000668F7" w:rsidP="00CF3BBD">
      <w:r>
        <w:separator/>
      </w:r>
    </w:p>
  </w:footnote>
  <w:footnote w:type="continuationSeparator" w:id="0">
    <w:p w:rsidR="000668F7" w:rsidRDefault="000668F7" w:rsidP="00CF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F7" w:rsidRPr="00AB52BF" w:rsidRDefault="000668F7" w:rsidP="00CF3BBD">
    <w:pPr>
      <w:tabs>
        <w:tab w:val="center" w:pos="4320"/>
        <w:tab w:val="right" w:pos="9450"/>
      </w:tabs>
      <w:ind w:right="-90"/>
      <w:jc w:val="right"/>
      <w:rPr>
        <w:rFonts w:ascii="HelveticaNeueLT Std Cn" w:hAnsi="HelveticaNeueLT Std Cn" w:cs="Arial"/>
        <w:i/>
      </w:rPr>
    </w:pPr>
    <w:r w:rsidRPr="00AB52BF">
      <w:rPr>
        <w:rFonts w:ascii="HelveticaNeueLT Std Cn" w:hAnsi="HelveticaNeueLT Std Cn" w:cs="Arial"/>
        <w:i/>
      </w:rPr>
      <w:t xml:space="preserve">NLN Affiliated Constituent League Policy Manual/Section </w:t>
    </w:r>
    <w:r w:rsidR="00BE1ECD">
      <w:rPr>
        <w:rFonts w:ascii="HelveticaNeueLT Std Cn" w:hAnsi="HelveticaNeueLT Std Cn" w:cs="Arial"/>
        <w:i/>
      </w:rPr>
      <w:t>4</w:t>
    </w:r>
    <w:r>
      <w:rPr>
        <w:rFonts w:ascii="HelveticaNeueLT Std Cn" w:hAnsi="HelveticaNeueLT Std Cn" w:cs="Arial"/>
        <w:i/>
      </w:rPr>
      <w:t>/</w:t>
    </w:r>
    <w:r w:rsidR="00BE1ECD">
      <w:rPr>
        <w:rFonts w:ascii="HelveticaNeueLT Std Cn" w:hAnsi="HelveticaNeueLT Std Cn" w:cs="Arial"/>
        <w:i/>
      </w:rPr>
      <w:t>Finance</w:t>
    </w:r>
  </w:p>
  <w:p w:rsidR="000668F7" w:rsidRPr="00AB52BF" w:rsidRDefault="000668F7">
    <w:pPr>
      <w:pStyle w:val="Header"/>
      <w:rPr>
        <w:rFonts w:ascii="HelveticaNeueLT Std Cn" w:hAnsi="HelveticaNeueLT Std 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38"/>
    <w:multiLevelType w:val="multilevel"/>
    <w:tmpl w:val="B4300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343066"/>
    <w:multiLevelType w:val="hybridMultilevel"/>
    <w:tmpl w:val="03FAE526"/>
    <w:lvl w:ilvl="0" w:tplc="8B7211C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74336"/>
    <w:multiLevelType w:val="hybridMultilevel"/>
    <w:tmpl w:val="58F29C5E"/>
    <w:lvl w:ilvl="0" w:tplc="D31EC2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679A5"/>
    <w:multiLevelType w:val="hybridMultilevel"/>
    <w:tmpl w:val="27C86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81B41"/>
    <w:multiLevelType w:val="hybridMultilevel"/>
    <w:tmpl w:val="32A654D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141F6"/>
    <w:multiLevelType w:val="multilevel"/>
    <w:tmpl w:val="82CA12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41BE683C"/>
    <w:multiLevelType w:val="hybridMultilevel"/>
    <w:tmpl w:val="F600E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37CAA"/>
    <w:multiLevelType w:val="hybridMultilevel"/>
    <w:tmpl w:val="AD3A2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012405"/>
    <w:multiLevelType w:val="hybridMultilevel"/>
    <w:tmpl w:val="05529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617C37"/>
    <w:multiLevelType w:val="hybridMultilevel"/>
    <w:tmpl w:val="27DC7AB8"/>
    <w:lvl w:ilvl="0" w:tplc="4AD416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F30FC7"/>
    <w:multiLevelType w:val="hybridMultilevel"/>
    <w:tmpl w:val="0602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B5867"/>
    <w:multiLevelType w:val="hybridMultilevel"/>
    <w:tmpl w:val="4BFE9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F766F"/>
    <w:multiLevelType w:val="hybridMultilevel"/>
    <w:tmpl w:val="63202A30"/>
    <w:lvl w:ilvl="0" w:tplc="2480C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1"/>
  </w:num>
  <w:num w:numId="7">
    <w:abstractNumId w:val="2"/>
  </w:num>
  <w:num w:numId="8">
    <w:abstractNumId w:val="10"/>
  </w:num>
  <w:num w:numId="9">
    <w:abstractNumId w:val="12"/>
  </w:num>
  <w:num w:numId="10">
    <w:abstractNumId w:val="3"/>
  </w:num>
  <w:num w:numId="11">
    <w:abstractNumId w:val="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BF"/>
    <w:rsid w:val="000668F7"/>
    <w:rsid w:val="00103688"/>
    <w:rsid w:val="00112371"/>
    <w:rsid w:val="00117607"/>
    <w:rsid w:val="001E0F2C"/>
    <w:rsid w:val="002476AD"/>
    <w:rsid w:val="002D442E"/>
    <w:rsid w:val="00363612"/>
    <w:rsid w:val="00551B45"/>
    <w:rsid w:val="005A389D"/>
    <w:rsid w:val="0065166B"/>
    <w:rsid w:val="007F6BA4"/>
    <w:rsid w:val="00804F0F"/>
    <w:rsid w:val="008A769D"/>
    <w:rsid w:val="008F2C50"/>
    <w:rsid w:val="009A36BF"/>
    <w:rsid w:val="009C2A9E"/>
    <w:rsid w:val="00AB52BF"/>
    <w:rsid w:val="00B247B2"/>
    <w:rsid w:val="00B26250"/>
    <w:rsid w:val="00B87870"/>
    <w:rsid w:val="00BC1F54"/>
    <w:rsid w:val="00BE1ECD"/>
    <w:rsid w:val="00CF3BBD"/>
    <w:rsid w:val="00E82C4B"/>
    <w:rsid w:val="00F30522"/>
    <w:rsid w:val="00F6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ship%20and%20Recognition%20Programs\Constituent%20Leagues\Governance\CL%20Policy%20Manual\NLN%20CL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4CCAAB2D8B94C9E80AEE0F968D4E3" ma:contentTypeVersion="16" ma:contentTypeDescription="Create a new document." ma:contentTypeScope="" ma:versionID="5a785c5a46ee5c393673cc65ccc77a63">
  <xsd:schema xmlns:xsd="http://www.w3.org/2001/XMLSchema" xmlns:xs="http://www.w3.org/2001/XMLSchema" xmlns:p="http://schemas.microsoft.com/office/2006/metadata/properties" xmlns:ns2="115335aa-b14d-43fc-bc3f-f6c2eb8e2e98" xmlns:ns3="e6718f48-bae5-4a3b-98de-cc0791a0f4dd" targetNamespace="http://schemas.microsoft.com/office/2006/metadata/properties" ma:root="true" ma:fieldsID="99a90fa103fbd9ba25f229344b80e0c3" ns2:_="" ns3:_="">
    <xsd:import namespace="115335aa-b14d-43fc-bc3f-f6c2eb8e2e98"/>
    <xsd:import namespace="e6718f48-bae5-4a3b-98de-cc0791a0f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335aa-b14d-43fc-bc3f-f6c2eb8e2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d5b859-ebfe-4755-9808-2198ae9c6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18f48-bae5-4a3b-98de-cc0791a0f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0d4528-3686-4f84-afe0-82a3c1291408}" ma:internalName="TaxCatchAll" ma:showField="CatchAllData" ma:web="e6718f48-bae5-4a3b-98de-cc0791a0f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5335aa-b14d-43fc-bc3f-f6c2eb8e2e98">
      <Terms xmlns="http://schemas.microsoft.com/office/infopath/2007/PartnerControls"/>
    </lcf76f155ced4ddcb4097134ff3c332f>
    <TaxCatchAll xmlns="e6718f48-bae5-4a3b-98de-cc0791a0f4dd" xsi:nil="true"/>
  </documentManagement>
</p:properties>
</file>

<file path=customXml/itemProps1.xml><?xml version="1.0" encoding="utf-8"?>
<ds:datastoreItem xmlns:ds="http://schemas.openxmlformats.org/officeDocument/2006/customXml" ds:itemID="{C58FBC5D-911C-4BE7-B175-7800E5C880F8}"/>
</file>

<file path=customXml/itemProps2.xml><?xml version="1.0" encoding="utf-8"?>
<ds:datastoreItem xmlns:ds="http://schemas.openxmlformats.org/officeDocument/2006/customXml" ds:itemID="{580A9995-B017-4F86-B29A-F1B6CF544F52}"/>
</file>

<file path=customXml/itemProps3.xml><?xml version="1.0" encoding="utf-8"?>
<ds:datastoreItem xmlns:ds="http://schemas.openxmlformats.org/officeDocument/2006/customXml" ds:itemID="{3288A141-A2FE-4CB4-82C7-80A0923090F7}"/>
</file>

<file path=docProps/app.xml><?xml version="1.0" encoding="utf-8"?>
<Properties xmlns="http://schemas.openxmlformats.org/officeDocument/2006/extended-properties" xmlns:vt="http://schemas.openxmlformats.org/officeDocument/2006/docPropsVTypes">
  <Template>NLN CL Policy Template</Template>
  <TotalTime>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Chrissy Ward</dc:creator>
  <cp:lastModifiedBy>Chrissy Ward</cp:lastModifiedBy>
  <cp:revision>4</cp:revision>
  <dcterms:created xsi:type="dcterms:W3CDTF">2015-11-30T20:04:00Z</dcterms:created>
  <dcterms:modified xsi:type="dcterms:W3CDTF">2016-01-19T19:37:00Z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0x010100FB84CCAAB2D8B94C9E80AEE0F968D4E3</vt:lpwstr>
  </property>
  <property fmtid="{D5CDD505-2E9C-101B-9397-08002B2CF9AE}" pid="3" name="Order">
    <vt:r8>100</vt:r8>
  </property>
</Properties>
</file>