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BD" w:rsidRPr="005A389D" w:rsidRDefault="00CF3BBD" w:rsidP="00CF3BBD">
      <w:pPr>
        <w:jc w:val="center"/>
        <w:rPr>
          <w:rFonts w:ascii="HelveticaNeueLT Std Cn" w:hAnsi="HelveticaNeueLT Std Cn" w:cs="Arial"/>
          <w:b/>
          <w:bCs/>
          <w:sz w:val="22"/>
          <w:szCs w:val="22"/>
        </w:rPr>
      </w:pPr>
      <w:bookmarkStart w:id="0" w:name="_GoBack"/>
      <w:bookmarkEnd w:id="0"/>
      <w:r w:rsidRPr="005A389D">
        <w:rPr>
          <w:rFonts w:ascii="HelveticaNeueLT Std Cn" w:hAnsi="HelveticaNeueLT Std Cn" w:cs="Arial"/>
          <w:b/>
          <w:bCs/>
          <w:sz w:val="22"/>
          <w:szCs w:val="22"/>
        </w:rPr>
        <w:t>NLN Affiliated Constituent League</w:t>
      </w:r>
    </w:p>
    <w:p w:rsidR="00CF3BBD" w:rsidRPr="005A389D" w:rsidRDefault="00CF3BBD" w:rsidP="00CF3BBD">
      <w:pPr>
        <w:jc w:val="center"/>
        <w:rPr>
          <w:rFonts w:ascii="HelveticaNeueLT Std Cn" w:hAnsi="HelveticaNeueLT Std Cn" w:cs="Arial"/>
          <w:b/>
          <w:bCs/>
          <w:sz w:val="22"/>
          <w:szCs w:val="22"/>
        </w:rPr>
      </w:pPr>
      <w:r w:rsidRPr="005A389D">
        <w:rPr>
          <w:rFonts w:ascii="HelveticaNeueLT Std Cn" w:hAnsi="HelveticaNeueLT Std Cn" w:cs="Arial"/>
          <w:b/>
          <w:bCs/>
          <w:sz w:val="22"/>
          <w:szCs w:val="22"/>
        </w:rPr>
        <w:t>Policy and Procedure</w:t>
      </w:r>
    </w:p>
    <w:p w:rsidR="00CF3BBD" w:rsidRPr="005A389D" w:rsidRDefault="00CF3BBD" w:rsidP="00CF3BBD">
      <w:pPr>
        <w:pStyle w:val="Header"/>
        <w:tabs>
          <w:tab w:val="clear" w:pos="4320"/>
          <w:tab w:val="clear" w:pos="8640"/>
        </w:tabs>
        <w:rPr>
          <w:rFonts w:ascii="HelveticaNeueLT Std Cn" w:hAnsi="HelveticaNeueLT Std Cn" w:cs="Arial"/>
          <w:sz w:val="22"/>
          <w:szCs w:val="22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3078"/>
        <w:gridCol w:w="6498"/>
      </w:tblGrid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policy number</w:t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</w:tcPr>
          <w:p w:rsidR="00CF3BBD" w:rsidRPr="005A389D" w:rsidRDefault="00022920" w:rsidP="00000CF5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5.</w:t>
            </w:r>
            <w:r w:rsidR="00000CF5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2</w:t>
            </w:r>
          </w:p>
        </w:tc>
      </w:tr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policy name</w:t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000CF5" w:rsidRPr="00000CF5" w:rsidRDefault="00000CF5" w:rsidP="00000CF5">
            <w:pPr>
              <w:pStyle w:val="Heading2"/>
              <w:rPr>
                <w:rFonts w:ascii="HelveticaNeueLT Std Cn" w:hAnsi="HelveticaNeueLT Std Cn" w:cs="Arial"/>
                <w:szCs w:val="22"/>
              </w:rPr>
            </w:pPr>
            <w:r w:rsidRPr="00000CF5">
              <w:rPr>
                <w:rFonts w:ascii="HelveticaNeueLT Std Cn" w:hAnsi="HelveticaNeueLT Std Cn" w:cs="Arial"/>
                <w:szCs w:val="22"/>
              </w:rPr>
              <w:t>Monitoring Chief Executive Performance</w:t>
            </w:r>
          </w:p>
          <w:p w:rsidR="00CF3BBD" w:rsidRPr="005A389D" w:rsidRDefault="00CF3BBD" w:rsidP="00113B9F">
            <w:pPr>
              <w:pStyle w:val="Heading2"/>
              <w:rPr>
                <w:rFonts w:ascii="HelveticaNeueLT Std Cn" w:hAnsi="HelveticaNeueLT Std Cn" w:cs="Arial"/>
                <w:szCs w:val="22"/>
              </w:rPr>
            </w:pPr>
          </w:p>
        </w:tc>
      </w:tr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date of origin</w:t>
            </w:r>
          </w:p>
        </w:tc>
        <w:tc>
          <w:tcPr>
            <w:tcW w:w="649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er"/>
              <w:tabs>
                <w:tab w:val="clear" w:pos="4320"/>
                <w:tab w:val="clear" w:pos="8640"/>
              </w:tabs>
              <w:rPr>
                <w:rFonts w:ascii="HelveticaNeueLT Std Cn" w:hAnsi="HelveticaNeueLT Std Cn" w:cs="Arial"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z w:val="22"/>
                <w:szCs w:val="22"/>
              </w:rPr>
              <w:t>(Date)</w:t>
            </w:r>
          </w:p>
        </w:tc>
      </w:tr>
      <w:tr w:rsidR="00CF3BBD" w:rsidRPr="005A389D" w:rsidTr="000668F7">
        <w:tc>
          <w:tcPr>
            <w:tcW w:w="3078" w:type="dxa"/>
            <w:tcBorders>
              <w:bottom w:val="thinThickSmallGap" w:sz="12" w:space="0" w:color="auto"/>
            </w:tcBorders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purpose</w:t>
            </w:r>
          </w:p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</w:tc>
        <w:tc>
          <w:tcPr>
            <w:tcW w:w="6498" w:type="dxa"/>
            <w:tcBorders>
              <w:bottom w:val="thinThickSmallGap" w:sz="12" w:space="0" w:color="auto"/>
            </w:tcBorders>
          </w:tcPr>
          <w:p w:rsidR="007E2636" w:rsidRDefault="007E2636" w:rsidP="00363612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B26250" w:rsidRPr="00363612" w:rsidRDefault="00000CF5" w:rsidP="00363612">
            <w:pPr>
              <w:rPr>
                <w:rFonts w:ascii="HelveticaNeueLT Std Cn" w:hAnsi="HelveticaNeueLT Std Cn" w:cs="Arial"/>
                <w:b/>
                <w:sz w:val="22"/>
                <w:szCs w:val="22"/>
                <w:u w:val="single"/>
              </w:rPr>
            </w:pPr>
            <w:r w:rsidRPr="00000CF5">
              <w:rPr>
                <w:rFonts w:ascii="HelveticaNeueLT Std Cn" w:hAnsi="HelveticaNeueLT Std Cn" w:cs="Arial"/>
                <w:sz w:val="22"/>
                <w:szCs w:val="22"/>
              </w:rPr>
              <w:t>Systematic and rigorous monitoring of the chief executive’s performance will be measured against achievement of organizational goals and organizational operations.</w:t>
            </w:r>
          </w:p>
        </w:tc>
      </w:tr>
      <w:tr w:rsidR="00CF3BBD" w:rsidRPr="005A389D" w:rsidTr="000668F7">
        <w:trPr>
          <w:trHeight w:val="6111"/>
        </w:trPr>
        <w:tc>
          <w:tcPr>
            <w:tcW w:w="3078" w:type="dxa"/>
          </w:tcPr>
          <w:p w:rsidR="00CF3BBD" w:rsidRPr="005A389D" w:rsidRDefault="00CF3BBD" w:rsidP="000668F7">
            <w:pPr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CF3BBD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 w:hanging="360"/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policy</w:t>
            </w:r>
          </w:p>
        </w:tc>
        <w:tc>
          <w:tcPr>
            <w:tcW w:w="6498" w:type="dxa"/>
          </w:tcPr>
          <w:p w:rsidR="00022920" w:rsidRDefault="00022920" w:rsidP="00022920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000CF5" w:rsidRPr="00000CF5" w:rsidRDefault="00000CF5" w:rsidP="00000CF5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000CF5" w:rsidRPr="00000CF5" w:rsidRDefault="00000CF5" w:rsidP="00000CF5">
            <w:pPr>
              <w:pStyle w:val="ListParagraph"/>
              <w:numPr>
                <w:ilvl w:val="0"/>
                <w:numId w:val="14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000CF5">
              <w:rPr>
                <w:rFonts w:ascii="HelveticaNeueLT Std Cn" w:hAnsi="HelveticaNeueLT Std Cn"/>
                <w:sz w:val="22"/>
                <w:szCs w:val="22"/>
              </w:rPr>
              <w:t>Monitoring is used to determine the degree to which organizational performance goals are being met. Data that do not do this will not be considered to be monitoring data.</w:t>
            </w:r>
            <w:r>
              <w:rPr>
                <w:rFonts w:ascii="HelveticaNeueLT Std Cn" w:hAnsi="HelveticaNeueLT Std Cn"/>
                <w:sz w:val="22"/>
                <w:szCs w:val="22"/>
              </w:rPr>
              <w:br/>
            </w:r>
          </w:p>
          <w:p w:rsidR="00000CF5" w:rsidRPr="00000CF5" w:rsidRDefault="00000CF5" w:rsidP="00000CF5">
            <w:pPr>
              <w:pStyle w:val="ListParagraph"/>
              <w:numPr>
                <w:ilvl w:val="0"/>
                <w:numId w:val="14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000CF5">
              <w:rPr>
                <w:rFonts w:ascii="HelveticaNeueLT Std Cn" w:hAnsi="HelveticaNeueLT Std Cn"/>
                <w:sz w:val="22"/>
                <w:szCs w:val="22"/>
              </w:rPr>
              <w:t>The board will acquire monitoring data by using one or more of the following methods:</w:t>
            </w:r>
            <w:r>
              <w:rPr>
                <w:rFonts w:ascii="HelveticaNeueLT Std Cn" w:hAnsi="HelveticaNeueLT Std Cn"/>
                <w:sz w:val="22"/>
                <w:szCs w:val="22"/>
              </w:rPr>
              <w:br/>
            </w:r>
          </w:p>
          <w:p w:rsidR="00000CF5" w:rsidRPr="00000CF5" w:rsidRDefault="00000CF5" w:rsidP="00000CF5">
            <w:pPr>
              <w:pStyle w:val="ListParagraph"/>
              <w:numPr>
                <w:ilvl w:val="1"/>
                <w:numId w:val="14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000CF5">
              <w:rPr>
                <w:rFonts w:ascii="HelveticaNeueLT Std Cn" w:hAnsi="HelveticaNeueLT Std Cn"/>
                <w:sz w:val="22"/>
                <w:szCs w:val="22"/>
              </w:rPr>
              <w:t>By internal report, in which the chief executive discloses compliance information to the board</w:t>
            </w:r>
          </w:p>
          <w:p w:rsidR="00000CF5" w:rsidRPr="00000CF5" w:rsidRDefault="00000CF5" w:rsidP="00000CF5">
            <w:pPr>
              <w:pStyle w:val="ListParagraph"/>
              <w:numPr>
                <w:ilvl w:val="1"/>
                <w:numId w:val="14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000CF5">
              <w:rPr>
                <w:rFonts w:ascii="HelveticaNeueLT Std Cn" w:hAnsi="HelveticaNeueLT Std Cn"/>
                <w:sz w:val="22"/>
                <w:szCs w:val="22"/>
              </w:rPr>
              <w:t>By external report, in which an external, disinterested third party selected by the board assesses compliance with organizational performance goals</w:t>
            </w:r>
          </w:p>
          <w:p w:rsidR="00000CF5" w:rsidRPr="00000CF5" w:rsidRDefault="00000CF5" w:rsidP="00000CF5">
            <w:pPr>
              <w:pStyle w:val="ListParagraph"/>
              <w:numPr>
                <w:ilvl w:val="1"/>
                <w:numId w:val="14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000CF5">
              <w:rPr>
                <w:rFonts w:ascii="HelveticaNeueLT Std Cn" w:hAnsi="HelveticaNeueLT Std Cn"/>
                <w:sz w:val="22"/>
                <w:szCs w:val="22"/>
              </w:rPr>
              <w:t>By direct board inspection, in which a designated member or members of the board assess compliance with the appropriate goal</w:t>
            </w:r>
            <w:r>
              <w:rPr>
                <w:rFonts w:ascii="HelveticaNeueLT Std Cn" w:hAnsi="HelveticaNeueLT Std Cn"/>
                <w:sz w:val="22"/>
                <w:szCs w:val="22"/>
              </w:rPr>
              <w:br/>
            </w:r>
          </w:p>
          <w:p w:rsidR="00000CF5" w:rsidRPr="00000CF5" w:rsidRDefault="00000CF5" w:rsidP="00000CF5">
            <w:pPr>
              <w:pStyle w:val="ListParagraph"/>
              <w:numPr>
                <w:ilvl w:val="0"/>
                <w:numId w:val="14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000CF5">
              <w:rPr>
                <w:rFonts w:ascii="HelveticaNeueLT Std Cn" w:hAnsi="HelveticaNeueLT Std Cn"/>
                <w:sz w:val="22"/>
                <w:szCs w:val="22"/>
              </w:rPr>
              <w:t>Monitoring will occur at a frequency and by a method chosen by the board. The board can monitor any organizational goal at any time by any method, but will ordinarily depend on a routine schedule that is negotiated annually with the chief executive.</w:t>
            </w:r>
            <w:r>
              <w:rPr>
                <w:rFonts w:ascii="HelveticaNeueLT Std Cn" w:hAnsi="HelveticaNeueLT Std Cn"/>
                <w:sz w:val="22"/>
                <w:szCs w:val="22"/>
              </w:rPr>
              <w:br/>
            </w:r>
          </w:p>
          <w:p w:rsidR="00EB27FA" w:rsidRPr="00000CF5" w:rsidRDefault="00000CF5" w:rsidP="00000CF5">
            <w:pPr>
              <w:pStyle w:val="ListParagraph"/>
              <w:numPr>
                <w:ilvl w:val="0"/>
                <w:numId w:val="14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000CF5">
              <w:rPr>
                <w:rFonts w:ascii="HelveticaNeueLT Std Cn" w:hAnsi="HelveticaNeueLT Std Cn"/>
                <w:sz w:val="22"/>
                <w:szCs w:val="22"/>
              </w:rPr>
              <w:t>The chief executive will give top priority to ensuring timely and accurate reporting to the board for use in monitoring.</w:t>
            </w:r>
          </w:p>
        </w:tc>
      </w:tr>
      <w:tr w:rsidR="000668F7" w:rsidRPr="000668F7" w:rsidTr="00F67DBE">
        <w:trPr>
          <w:trHeight w:val="260"/>
        </w:trPr>
        <w:tc>
          <w:tcPr>
            <w:tcW w:w="3078" w:type="dxa"/>
          </w:tcPr>
          <w:p w:rsidR="000668F7" w:rsidRPr="000668F7" w:rsidRDefault="000668F7" w:rsidP="000668F7">
            <w:pPr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</w:tc>
        <w:tc>
          <w:tcPr>
            <w:tcW w:w="6498" w:type="dxa"/>
          </w:tcPr>
          <w:p w:rsidR="000668F7" w:rsidRPr="000668F7" w:rsidRDefault="000668F7" w:rsidP="000668F7">
            <w:pPr>
              <w:rPr>
                <w:rFonts w:ascii="HelveticaNeueLT Std Cn" w:hAnsi="HelveticaNeueLT Std Cn"/>
                <w:sz w:val="22"/>
                <w:szCs w:val="22"/>
                <w:highlight w:val="lightGray"/>
              </w:rPr>
            </w:pPr>
          </w:p>
        </w:tc>
      </w:tr>
    </w:tbl>
    <w:p w:rsidR="00CF3BBD" w:rsidRPr="000668F7" w:rsidRDefault="00CF3BBD" w:rsidP="00CF3BBD">
      <w:pPr>
        <w:rPr>
          <w:rFonts w:ascii="HelveticaNeueLT Std Cn" w:hAnsi="HelveticaNeueLT Std Cn" w:cs="Arial"/>
          <w:sz w:val="22"/>
          <w:szCs w:val="22"/>
        </w:rPr>
      </w:pPr>
    </w:p>
    <w:p w:rsidR="00CF3BBD" w:rsidRPr="000668F7" w:rsidRDefault="00CF3BBD" w:rsidP="00CF3BBD">
      <w:pPr>
        <w:rPr>
          <w:rFonts w:ascii="HelveticaNeueLT Std Cn" w:hAnsi="HelveticaNeueLT Std Cn" w:cs="Arial"/>
          <w:sz w:val="22"/>
          <w:szCs w:val="22"/>
        </w:rPr>
      </w:pPr>
      <w:r w:rsidRPr="000668F7">
        <w:rPr>
          <w:rFonts w:ascii="HelveticaNeueLT Std Cn" w:hAnsi="HelveticaNeueLT Std Cn" w:cs="Arial"/>
          <w:sz w:val="22"/>
          <w:szCs w:val="22"/>
        </w:rPr>
        <w:t>Revision Dates:</w:t>
      </w:r>
    </w:p>
    <w:p w:rsidR="00CF3BBD" w:rsidRPr="000668F7" w:rsidRDefault="00CF3BBD" w:rsidP="00B247B2">
      <w:pPr>
        <w:pStyle w:val="Header"/>
        <w:tabs>
          <w:tab w:val="clear" w:pos="4320"/>
          <w:tab w:val="clear" w:pos="8640"/>
        </w:tabs>
        <w:ind w:left="720"/>
        <w:rPr>
          <w:rFonts w:ascii="HelveticaNeueLT Std Cn" w:hAnsi="HelveticaNeueLT Std Cn" w:cs="Arial"/>
          <w:sz w:val="22"/>
          <w:szCs w:val="22"/>
        </w:rPr>
      </w:pPr>
    </w:p>
    <w:p w:rsidR="000668F7" w:rsidRPr="000668F7" w:rsidRDefault="000668F7" w:rsidP="00B247B2">
      <w:pPr>
        <w:pStyle w:val="Header"/>
        <w:tabs>
          <w:tab w:val="clear" w:pos="4320"/>
          <w:tab w:val="clear" w:pos="8640"/>
        </w:tabs>
        <w:ind w:left="360"/>
        <w:rPr>
          <w:rFonts w:ascii="HelveticaNeueLT Std Cn" w:hAnsi="HelveticaNeueLT Std Cn" w:cs="Arial"/>
          <w:sz w:val="22"/>
          <w:szCs w:val="22"/>
        </w:rPr>
      </w:pPr>
    </w:p>
    <w:sectPr w:rsidR="000668F7" w:rsidRPr="000668F7" w:rsidSect="000668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8F7" w:rsidRDefault="000668F7" w:rsidP="00CF3BBD">
      <w:r>
        <w:separator/>
      </w:r>
    </w:p>
  </w:endnote>
  <w:endnote w:type="continuationSeparator" w:id="0">
    <w:p w:rsidR="000668F7" w:rsidRDefault="000668F7" w:rsidP="00CF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 Cn"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8F7" w:rsidRDefault="000668F7" w:rsidP="00CF3BBD">
      <w:r>
        <w:separator/>
      </w:r>
    </w:p>
  </w:footnote>
  <w:footnote w:type="continuationSeparator" w:id="0">
    <w:p w:rsidR="000668F7" w:rsidRDefault="000668F7" w:rsidP="00CF3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8F7" w:rsidRPr="00AB52BF" w:rsidRDefault="000668F7" w:rsidP="00CF3BBD">
    <w:pPr>
      <w:tabs>
        <w:tab w:val="center" w:pos="4320"/>
        <w:tab w:val="right" w:pos="9450"/>
      </w:tabs>
      <w:ind w:right="-90"/>
      <w:jc w:val="right"/>
      <w:rPr>
        <w:rFonts w:ascii="HelveticaNeueLT Std Cn" w:hAnsi="HelveticaNeueLT Std Cn" w:cs="Arial"/>
        <w:i/>
      </w:rPr>
    </w:pPr>
    <w:r w:rsidRPr="00AB52BF">
      <w:rPr>
        <w:rFonts w:ascii="HelveticaNeueLT Std Cn" w:hAnsi="HelveticaNeueLT Std Cn" w:cs="Arial"/>
        <w:i/>
      </w:rPr>
      <w:t>NLN Affiliated Constituent League Policy Manual/</w:t>
    </w:r>
    <w:r w:rsidR="00DB0141" w:rsidRPr="00DB0141">
      <w:rPr>
        <w:rFonts w:ascii="HelveticaNeueLT Std Cn" w:hAnsi="HelveticaNeueLT Std Cn" w:cs="Arial"/>
        <w:i/>
      </w:rPr>
      <w:t xml:space="preserve"> </w:t>
    </w:r>
    <w:r w:rsidR="00DB0141" w:rsidRPr="00AB52BF">
      <w:rPr>
        <w:rFonts w:ascii="HelveticaNeueLT Std Cn" w:hAnsi="HelveticaNeueLT Std Cn" w:cs="Arial"/>
        <w:i/>
      </w:rPr>
      <w:t xml:space="preserve">Section </w:t>
    </w:r>
    <w:r w:rsidR="00DB0141">
      <w:rPr>
        <w:rFonts w:ascii="HelveticaNeueLT Std Cn" w:hAnsi="HelveticaNeueLT Std Cn" w:cs="Arial"/>
        <w:i/>
      </w:rPr>
      <w:t>Five/Staff</w:t>
    </w:r>
  </w:p>
  <w:p w:rsidR="000668F7" w:rsidRPr="00AB52BF" w:rsidRDefault="000668F7">
    <w:pPr>
      <w:pStyle w:val="Header"/>
      <w:rPr>
        <w:rFonts w:ascii="HelveticaNeueLT Std Cn" w:hAnsi="HelveticaNeueLT Std 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1B38"/>
    <w:multiLevelType w:val="multilevel"/>
    <w:tmpl w:val="B4300E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5B74336"/>
    <w:multiLevelType w:val="hybridMultilevel"/>
    <w:tmpl w:val="58F29C5E"/>
    <w:lvl w:ilvl="0" w:tplc="D31EC28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141F6"/>
    <w:multiLevelType w:val="multilevel"/>
    <w:tmpl w:val="82CA120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41BE683C"/>
    <w:multiLevelType w:val="hybridMultilevel"/>
    <w:tmpl w:val="F600EF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925CEA"/>
    <w:multiLevelType w:val="hybridMultilevel"/>
    <w:tmpl w:val="A5E48E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37CAA"/>
    <w:multiLevelType w:val="hybridMultilevel"/>
    <w:tmpl w:val="AD3A2D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AD6479"/>
    <w:multiLevelType w:val="hybridMultilevel"/>
    <w:tmpl w:val="9A24D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70EC4"/>
    <w:multiLevelType w:val="hybridMultilevel"/>
    <w:tmpl w:val="C9A206FC"/>
    <w:lvl w:ilvl="0" w:tplc="C58E5D38"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9D0674"/>
    <w:multiLevelType w:val="hybridMultilevel"/>
    <w:tmpl w:val="822092B6"/>
    <w:lvl w:ilvl="0" w:tplc="D24C2C22"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617C37"/>
    <w:multiLevelType w:val="hybridMultilevel"/>
    <w:tmpl w:val="27DC7AB8"/>
    <w:lvl w:ilvl="0" w:tplc="4AD416A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6E3514"/>
    <w:multiLevelType w:val="hybridMultilevel"/>
    <w:tmpl w:val="F796C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A11961"/>
    <w:multiLevelType w:val="hybridMultilevel"/>
    <w:tmpl w:val="4D80B56E"/>
    <w:lvl w:ilvl="0" w:tplc="EE969E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EE0A91EC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30FC7"/>
    <w:multiLevelType w:val="hybridMultilevel"/>
    <w:tmpl w:val="0602F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1B5867"/>
    <w:multiLevelType w:val="hybridMultilevel"/>
    <w:tmpl w:val="4BFE9D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AF766F"/>
    <w:multiLevelType w:val="hybridMultilevel"/>
    <w:tmpl w:val="63202A30"/>
    <w:lvl w:ilvl="0" w:tplc="2480C6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0"/>
  </w:num>
  <w:num w:numId="5">
    <w:abstractNumId w:val="3"/>
  </w:num>
  <w:num w:numId="6">
    <w:abstractNumId w:val="13"/>
  </w:num>
  <w:num w:numId="7">
    <w:abstractNumId w:val="1"/>
  </w:num>
  <w:num w:numId="8">
    <w:abstractNumId w:val="12"/>
  </w:num>
  <w:num w:numId="9">
    <w:abstractNumId w:val="14"/>
  </w:num>
  <w:num w:numId="10">
    <w:abstractNumId w:val="6"/>
  </w:num>
  <w:num w:numId="11">
    <w:abstractNumId w:val="7"/>
  </w:num>
  <w:num w:numId="12">
    <w:abstractNumId w:val="4"/>
  </w:num>
  <w:num w:numId="13">
    <w:abstractNumId w:val="8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2BF"/>
    <w:rsid w:val="00000CF5"/>
    <w:rsid w:val="00022920"/>
    <w:rsid w:val="000668F7"/>
    <w:rsid w:val="00113B9F"/>
    <w:rsid w:val="00117607"/>
    <w:rsid w:val="002D442E"/>
    <w:rsid w:val="00363612"/>
    <w:rsid w:val="004F35DD"/>
    <w:rsid w:val="00551B45"/>
    <w:rsid w:val="005A389D"/>
    <w:rsid w:val="0065166B"/>
    <w:rsid w:val="007E2636"/>
    <w:rsid w:val="00804F0F"/>
    <w:rsid w:val="008F2C50"/>
    <w:rsid w:val="009A36BF"/>
    <w:rsid w:val="00AB52BF"/>
    <w:rsid w:val="00AF3E39"/>
    <w:rsid w:val="00B247B2"/>
    <w:rsid w:val="00B26250"/>
    <w:rsid w:val="00B87870"/>
    <w:rsid w:val="00BC1F54"/>
    <w:rsid w:val="00C5088B"/>
    <w:rsid w:val="00CF3BBD"/>
    <w:rsid w:val="00DB0141"/>
    <w:rsid w:val="00E82C4B"/>
    <w:rsid w:val="00EB27FA"/>
    <w:rsid w:val="00F30522"/>
    <w:rsid w:val="00F6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Membership%20and%20Recognition%20Programs\Constituent%20Leagues\Governance\CL%20Policy%20Manual\NLN%20CL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NLN CL Policy Template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Chrissy Ward</dc:creator>
  <cp:lastModifiedBy>Chrissy Ward</cp:lastModifiedBy>
  <cp:revision>3</cp:revision>
  <dcterms:created xsi:type="dcterms:W3CDTF">2015-11-30T20:46:00Z</dcterms:created>
  <dcterms:modified xsi:type="dcterms:W3CDTF">2015-12-22T19:43:00Z</dcterms:modified>
</cp:coreProperties>
</file>