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bookmarkStart w:id="0" w:name="_GoBack"/>
      <w:bookmarkEnd w:id="0"/>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022920" w:rsidP="007E2636">
            <w:pPr>
              <w:rPr>
                <w:rFonts w:ascii="HelveticaNeueLT Std Cn" w:hAnsi="HelveticaNeueLT Std Cn" w:cs="Arial"/>
                <w:b/>
                <w:smallCaps/>
                <w:sz w:val="22"/>
                <w:szCs w:val="22"/>
              </w:rPr>
            </w:pPr>
            <w:r>
              <w:rPr>
                <w:rFonts w:ascii="HelveticaNeueLT Std Cn" w:hAnsi="HelveticaNeueLT Std Cn" w:cs="Arial"/>
                <w:b/>
                <w:smallCaps/>
                <w:sz w:val="22"/>
                <w:szCs w:val="22"/>
              </w:rPr>
              <w:t>5.3</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022920" w:rsidP="00113B9F">
            <w:pPr>
              <w:pStyle w:val="Heading2"/>
              <w:rPr>
                <w:rFonts w:ascii="HelveticaNeueLT Std Cn" w:hAnsi="HelveticaNeueLT Std Cn" w:cs="Arial"/>
                <w:szCs w:val="22"/>
              </w:rPr>
            </w:pPr>
            <w:r>
              <w:rPr>
                <w:rFonts w:ascii="HelveticaNeueLT Std Cn" w:hAnsi="HelveticaNeueLT Std Cn" w:cs="Arial"/>
                <w:szCs w:val="22"/>
              </w:rPr>
              <w:t>Chief Staff Transition</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E2636" w:rsidRDefault="007E2636" w:rsidP="00363612">
            <w:pPr>
              <w:rPr>
                <w:rFonts w:ascii="HelveticaNeueLT Std Cn" w:hAnsi="HelveticaNeueLT Std Cn" w:cs="Arial"/>
                <w:sz w:val="22"/>
                <w:szCs w:val="22"/>
              </w:rPr>
            </w:pPr>
          </w:p>
          <w:p w:rsidR="00B26250" w:rsidRPr="00363612" w:rsidRDefault="00022920" w:rsidP="00363612">
            <w:pPr>
              <w:rPr>
                <w:rFonts w:ascii="HelveticaNeueLT Std Cn" w:hAnsi="HelveticaNeueLT Std Cn" w:cs="Arial"/>
                <w:b/>
                <w:sz w:val="22"/>
                <w:szCs w:val="22"/>
                <w:u w:val="single"/>
              </w:rPr>
            </w:pPr>
            <w:r>
              <w:rPr>
                <w:rFonts w:ascii="HelveticaNeueLT Std Cn" w:hAnsi="HelveticaNeueLT Std Cn" w:cs="Arial"/>
                <w:sz w:val="22"/>
                <w:szCs w:val="22"/>
              </w:rPr>
              <w:t>I</w:t>
            </w:r>
            <w:r w:rsidRPr="00022920">
              <w:rPr>
                <w:rFonts w:ascii="HelveticaNeueLT Std Cn" w:hAnsi="HelveticaNeueLT Std Cn" w:cs="Arial"/>
                <w:sz w:val="22"/>
                <w:szCs w:val="22"/>
              </w:rPr>
              <w:t>ncorporates succession planning into the annual performance review and assigns responsibility to both the executive committee and the chief executive.</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022920" w:rsidRDefault="00022920" w:rsidP="00022920">
            <w:pPr>
              <w:rPr>
                <w:rFonts w:ascii="HelveticaNeueLT Std Cn" w:hAnsi="HelveticaNeueLT Std Cn"/>
                <w:sz w:val="22"/>
                <w:szCs w:val="22"/>
              </w:rPr>
            </w:pPr>
          </w:p>
          <w:p w:rsidR="00022920" w:rsidRPr="00022920" w:rsidRDefault="00022920" w:rsidP="00022920">
            <w:pPr>
              <w:rPr>
                <w:rFonts w:ascii="HelveticaNeueLT Std Cn" w:hAnsi="HelveticaNeueLT Std Cn"/>
                <w:sz w:val="22"/>
                <w:szCs w:val="22"/>
              </w:rPr>
            </w:pPr>
            <w:r w:rsidRPr="00022920">
              <w:rPr>
                <w:rFonts w:ascii="HelveticaNeueLT Std Cn" w:hAnsi="HelveticaNeueLT Std Cn"/>
                <w:sz w:val="22"/>
                <w:szCs w:val="22"/>
              </w:rPr>
              <w:t>Annually, as part of the chief executive performance review, the chief executive discusses his or her succession plan with the executive committee. The chief executive, through this discussion, advises the executive committee what they should do in the event of a sudden departure in order to ensure organizational stability until a new chief executive is appointed.</w:t>
            </w:r>
          </w:p>
          <w:p w:rsidR="00022920" w:rsidRPr="00022920" w:rsidRDefault="00022920" w:rsidP="00022920">
            <w:pPr>
              <w:rPr>
                <w:rFonts w:ascii="HelveticaNeueLT Std Cn" w:hAnsi="HelveticaNeueLT Std Cn"/>
                <w:sz w:val="22"/>
                <w:szCs w:val="22"/>
              </w:rPr>
            </w:pPr>
          </w:p>
          <w:p w:rsidR="00022920" w:rsidRPr="00022920" w:rsidRDefault="00022920" w:rsidP="00022920">
            <w:pPr>
              <w:rPr>
                <w:rFonts w:ascii="HelveticaNeueLT Std Cn" w:hAnsi="HelveticaNeueLT Std Cn"/>
                <w:sz w:val="22"/>
                <w:szCs w:val="22"/>
              </w:rPr>
            </w:pPr>
            <w:r w:rsidRPr="00022920">
              <w:rPr>
                <w:rFonts w:ascii="HelveticaNeueLT Std Cn" w:hAnsi="HelveticaNeueLT Std Cn"/>
                <w:sz w:val="22"/>
                <w:szCs w:val="22"/>
              </w:rPr>
              <w:t>In addition, the chief executive and executive committee ensure the organization always has in place</w:t>
            </w:r>
          </w:p>
          <w:p w:rsidR="00022920" w:rsidRPr="00022920" w:rsidRDefault="00022920" w:rsidP="00022920">
            <w:pPr>
              <w:pStyle w:val="ListParagraph"/>
              <w:numPr>
                <w:ilvl w:val="0"/>
                <w:numId w:val="12"/>
              </w:numPr>
              <w:rPr>
                <w:rFonts w:ascii="HelveticaNeueLT Std Cn" w:hAnsi="HelveticaNeueLT Std Cn"/>
                <w:sz w:val="22"/>
                <w:szCs w:val="22"/>
              </w:rPr>
            </w:pPr>
            <w:r w:rsidRPr="00022920">
              <w:rPr>
                <w:rFonts w:ascii="HelveticaNeueLT Std Cn" w:hAnsi="HelveticaNeueLT Std Cn"/>
                <w:sz w:val="22"/>
                <w:szCs w:val="22"/>
              </w:rPr>
              <w:t>an up-to-date chief executive position description</w:t>
            </w:r>
          </w:p>
          <w:p w:rsidR="00022920" w:rsidRPr="00022920" w:rsidRDefault="00022920" w:rsidP="00022920">
            <w:pPr>
              <w:pStyle w:val="ListParagraph"/>
              <w:numPr>
                <w:ilvl w:val="0"/>
                <w:numId w:val="12"/>
              </w:numPr>
              <w:rPr>
                <w:rFonts w:ascii="HelveticaNeueLT Std Cn" w:hAnsi="HelveticaNeueLT Std Cn"/>
                <w:sz w:val="22"/>
                <w:szCs w:val="22"/>
              </w:rPr>
            </w:pPr>
            <w:r w:rsidRPr="00022920">
              <w:rPr>
                <w:rFonts w:ascii="HelveticaNeueLT Std Cn" w:hAnsi="HelveticaNeueLT Std Cn"/>
                <w:sz w:val="22"/>
                <w:szCs w:val="22"/>
              </w:rPr>
              <w:t>a current strategic and operating plan</w:t>
            </w:r>
          </w:p>
          <w:p w:rsidR="00022920" w:rsidRPr="00022920" w:rsidRDefault="00022920" w:rsidP="00022920">
            <w:pPr>
              <w:pStyle w:val="ListParagraph"/>
              <w:numPr>
                <w:ilvl w:val="0"/>
                <w:numId w:val="12"/>
              </w:numPr>
              <w:rPr>
                <w:rFonts w:ascii="HelveticaNeueLT Std Cn" w:hAnsi="HelveticaNeueLT Std Cn"/>
                <w:sz w:val="22"/>
                <w:szCs w:val="22"/>
              </w:rPr>
            </w:pPr>
            <w:r w:rsidRPr="00022920">
              <w:rPr>
                <w:rFonts w:ascii="HelveticaNeueLT Std Cn" w:hAnsi="HelveticaNeueLT Std Cn"/>
                <w:sz w:val="22"/>
                <w:szCs w:val="22"/>
              </w:rPr>
              <w:t>an operating budget that includes adequate salary and benefits to attract a competent successor</w:t>
            </w:r>
          </w:p>
          <w:p w:rsidR="00EB27FA" w:rsidRPr="00022920" w:rsidRDefault="00022920" w:rsidP="00022920">
            <w:pPr>
              <w:pStyle w:val="ListParagraph"/>
              <w:numPr>
                <w:ilvl w:val="0"/>
                <w:numId w:val="12"/>
              </w:numPr>
              <w:rPr>
                <w:rFonts w:ascii="HelveticaNeueLT Std Cn" w:hAnsi="HelveticaNeueLT Std Cn"/>
                <w:sz w:val="22"/>
                <w:szCs w:val="22"/>
              </w:rPr>
            </w:pPr>
            <w:r w:rsidRPr="00022920">
              <w:rPr>
                <w:rFonts w:ascii="HelveticaNeueLT Std Cn" w:hAnsi="HelveticaNeueLT Std Cn"/>
                <w:sz w:val="22"/>
                <w:szCs w:val="22"/>
              </w:rPr>
              <w:t>knowledge of best practices in executive recruitment</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NLN Affiliated Constituent League Policy Manual/</w:t>
    </w:r>
    <w:r w:rsidR="0062588E" w:rsidRPr="0062588E">
      <w:t xml:space="preserve"> </w:t>
    </w:r>
    <w:r w:rsidR="0062588E" w:rsidRPr="0062588E">
      <w:rPr>
        <w:rFonts w:ascii="HelveticaNeueLT Std Cn" w:hAnsi="HelveticaNeueLT Std Cn" w:cs="Arial"/>
        <w:i/>
      </w:rPr>
      <w:t>Section Five/Staff</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25CEA"/>
    <w:multiLevelType w:val="hybridMultilevel"/>
    <w:tmpl w:val="A5E48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AD6479"/>
    <w:multiLevelType w:val="hybridMultilevel"/>
    <w:tmpl w:val="9A24D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70EC4"/>
    <w:multiLevelType w:val="hybridMultilevel"/>
    <w:tmpl w:val="C9A206FC"/>
    <w:lvl w:ilvl="0" w:tplc="C58E5D38">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D0674"/>
    <w:multiLevelType w:val="hybridMultilevel"/>
    <w:tmpl w:val="822092B6"/>
    <w:lvl w:ilvl="0" w:tplc="D24C2C2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0"/>
  </w:num>
  <w:num w:numId="5">
    <w:abstractNumId w:val="3"/>
  </w:num>
  <w:num w:numId="6">
    <w:abstractNumId w:val="11"/>
  </w:num>
  <w:num w:numId="7">
    <w:abstractNumId w:val="1"/>
  </w:num>
  <w:num w:numId="8">
    <w:abstractNumId w:val="10"/>
  </w:num>
  <w:num w:numId="9">
    <w:abstractNumId w:val="12"/>
  </w:num>
  <w:num w:numId="10">
    <w:abstractNumId w:val="6"/>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22920"/>
    <w:rsid w:val="000668F7"/>
    <w:rsid w:val="00113B9F"/>
    <w:rsid w:val="00117607"/>
    <w:rsid w:val="0026601D"/>
    <w:rsid w:val="002D442E"/>
    <w:rsid w:val="00363612"/>
    <w:rsid w:val="00551B45"/>
    <w:rsid w:val="005A389D"/>
    <w:rsid w:val="0062588E"/>
    <w:rsid w:val="0065166B"/>
    <w:rsid w:val="007E2636"/>
    <w:rsid w:val="00804F0F"/>
    <w:rsid w:val="008F2C50"/>
    <w:rsid w:val="009A36BF"/>
    <w:rsid w:val="00AB52BF"/>
    <w:rsid w:val="00AF3E39"/>
    <w:rsid w:val="00B247B2"/>
    <w:rsid w:val="00B26250"/>
    <w:rsid w:val="00B87870"/>
    <w:rsid w:val="00BC1F54"/>
    <w:rsid w:val="00C5088B"/>
    <w:rsid w:val="00CF3BBD"/>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2015-11-30T20:46:00Z</dcterms:created>
  <dcterms:modified xsi:type="dcterms:W3CDTF">2015-12-22T19:43:00Z</dcterms:modified>
</cp:coreProperties>
</file>