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2E1C4D" w:rsidP="00131225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3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131225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8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131225" w:rsidP="006A0632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Board Self-Assessment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A01A40" w:rsidRDefault="00A01A40" w:rsidP="00363612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26250" w:rsidRPr="00A01A40" w:rsidRDefault="00131225" w:rsidP="00363612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sz w:val="22"/>
                <w:szCs w:val="22"/>
              </w:rPr>
              <w:t>S</w:t>
            </w:r>
            <w:r w:rsidRPr="00131225">
              <w:rPr>
                <w:rFonts w:ascii="HelveticaNeueLT Std Cn" w:hAnsi="HelveticaNeueLT Std Cn" w:cs="Arial"/>
                <w:sz w:val="22"/>
                <w:szCs w:val="22"/>
              </w:rPr>
              <w:t>ets the process for an annual self-assessment of the board as a group. It is not an assessment of the individual members.</w:t>
            </w: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BC1F54" w:rsidRDefault="00BC1F54" w:rsidP="00EB27FA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31225" w:rsidRPr="00131225" w:rsidRDefault="00131225" w:rsidP="00131225">
            <w:pPr>
              <w:rPr>
                <w:rFonts w:ascii="HelveticaNeueLT Std Cn" w:hAnsi="HelveticaNeueLT Std Cn"/>
                <w:b/>
                <w:sz w:val="22"/>
                <w:szCs w:val="22"/>
              </w:rPr>
            </w:pPr>
            <w:r w:rsidRPr="00131225">
              <w:rPr>
                <w:rFonts w:ascii="HelveticaNeueLT Std Cn" w:hAnsi="HelveticaNeueLT Std Cn"/>
                <w:b/>
                <w:sz w:val="22"/>
                <w:szCs w:val="22"/>
              </w:rPr>
              <w:t>Rationale</w:t>
            </w:r>
          </w:p>
          <w:p w:rsidR="00131225" w:rsidRPr="00131225" w:rsidRDefault="00131225" w:rsidP="00131225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31225">
              <w:rPr>
                <w:rFonts w:ascii="HelveticaNeueLT Std Cn" w:hAnsi="HelveticaNeueLT Std Cn"/>
                <w:sz w:val="22"/>
                <w:szCs w:val="22"/>
              </w:rPr>
              <w:t>The board is committed to assessing its own performance as a board in order to identify its strengths and areas in which it may improve its functioning.</w:t>
            </w:r>
          </w:p>
          <w:p w:rsidR="00131225" w:rsidRPr="00131225" w:rsidRDefault="00131225" w:rsidP="00131225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31225" w:rsidRPr="00131225" w:rsidRDefault="00131225" w:rsidP="00131225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31225">
              <w:rPr>
                <w:rFonts w:ascii="HelveticaNeueLT Std Cn" w:hAnsi="HelveticaNeueLT Std Cn"/>
                <w:sz w:val="22"/>
                <w:szCs w:val="22"/>
              </w:rPr>
              <w:t xml:space="preserve">While the board sees its role of assessing its performance as ongoing, it sets aside time at its annual retreat to conduct a self-evaluation among its members. </w:t>
            </w:r>
          </w:p>
          <w:p w:rsidR="00131225" w:rsidRPr="00131225" w:rsidRDefault="00131225" w:rsidP="00131225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31225" w:rsidRPr="00131225" w:rsidRDefault="00131225" w:rsidP="00131225">
            <w:pPr>
              <w:rPr>
                <w:rFonts w:ascii="HelveticaNeueLT Std Cn" w:hAnsi="HelveticaNeueLT Std Cn"/>
                <w:b/>
                <w:sz w:val="22"/>
                <w:szCs w:val="22"/>
              </w:rPr>
            </w:pPr>
            <w:r w:rsidRPr="00131225">
              <w:rPr>
                <w:rFonts w:ascii="HelveticaNeueLT Std Cn" w:hAnsi="HelveticaNeueLT Std Cn"/>
                <w:b/>
                <w:sz w:val="22"/>
                <w:szCs w:val="22"/>
              </w:rPr>
              <w:t>Purpose and Process</w:t>
            </w:r>
          </w:p>
          <w:p w:rsidR="00131225" w:rsidRPr="00131225" w:rsidRDefault="00131225" w:rsidP="00131225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31225">
              <w:rPr>
                <w:rFonts w:ascii="HelveticaNeueLT Std Cn" w:hAnsi="HelveticaNeueLT Std Cn"/>
                <w:sz w:val="22"/>
                <w:szCs w:val="22"/>
              </w:rPr>
              <w:t>The purpose of the board self-evaluation is to identify those areas of board functions that are working well and those that may need improvement. The board self-evaluation speaks to the board as a whole, not to individual members. It is the evaluation process of the overall effectiveness of the board as a decision-making group.</w:t>
            </w:r>
          </w:p>
          <w:p w:rsidR="00131225" w:rsidRPr="00131225" w:rsidRDefault="00131225" w:rsidP="00131225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31225" w:rsidRPr="00131225" w:rsidRDefault="00131225" w:rsidP="00131225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31225">
              <w:rPr>
                <w:rFonts w:ascii="HelveticaNeueLT Std Cn" w:hAnsi="HelveticaNeueLT Std Cn"/>
                <w:sz w:val="22"/>
                <w:szCs w:val="22"/>
              </w:rPr>
              <w:t>The following process will be used:</w:t>
            </w:r>
          </w:p>
          <w:p w:rsidR="00131225" w:rsidRPr="00131225" w:rsidRDefault="00131225" w:rsidP="00131225">
            <w:pPr>
              <w:pStyle w:val="ListParagraph"/>
              <w:numPr>
                <w:ilvl w:val="0"/>
                <w:numId w:val="12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131225">
              <w:rPr>
                <w:rFonts w:ascii="HelveticaNeueLT Std Cn" w:hAnsi="HelveticaNeueLT Std Cn"/>
                <w:sz w:val="22"/>
                <w:szCs w:val="22"/>
              </w:rPr>
              <w:t>A self-evaluation form will be distributed to all board members annually.</w:t>
            </w:r>
          </w:p>
          <w:p w:rsidR="00131225" w:rsidRPr="00131225" w:rsidRDefault="00131225" w:rsidP="00131225">
            <w:pPr>
              <w:pStyle w:val="ListParagraph"/>
              <w:numPr>
                <w:ilvl w:val="0"/>
                <w:numId w:val="12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131225">
              <w:rPr>
                <w:rFonts w:ascii="HelveticaNeueLT Std Cn" w:hAnsi="HelveticaNeueLT Std Cn"/>
                <w:sz w:val="22"/>
                <w:szCs w:val="22"/>
              </w:rPr>
              <w:t>The completed self-evaluation forms sha</w:t>
            </w:r>
            <w:r w:rsidR="00FC7EAC">
              <w:rPr>
                <w:rFonts w:ascii="HelveticaNeueLT Std Cn" w:hAnsi="HelveticaNeueLT Std Cn"/>
                <w:sz w:val="22"/>
                <w:szCs w:val="22"/>
              </w:rPr>
              <w:t>ll be submitted to the board secretary</w:t>
            </w:r>
            <w:r w:rsidRPr="00131225">
              <w:rPr>
                <w:rFonts w:ascii="HelveticaNeueLT Std Cn" w:hAnsi="HelveticaNeueLT Std Cn"/>
                <w:sz w:val="22"/>
                <w:szCs w:val="22"/>
              </w:rPr>
              <w:t xml:space="preserve"> at least __ week(s) prior to the regularly scheduled board retreat at which the self-evaluation will be discussed.</w:t>
            </w:r>
          </w:p>
          <w:p w:rsidR="00131225" w:rsidRPr="00131225" w:rsidRDefault="00131225" w:rsidP="00131225">
            <w:pPr>
              <w:pStyle w:val="ListParagraph"/>
              <w:numPr>
                <w:ilvl w:val="0"/>
                <w:numId w:val="12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131225">
              <w:rPr>
                <w:rFonts w:ascii="HelveticaNeueLT Std Cn" w:hAnsi="HelveticaNeueLT Std Cn"/>
                <w:sz w:val="22"/>
                <w:szCs w:val="22"/>
              </w:rPr>
              <w:t>The self-evaluation results shall be included as an agenda item for review at a regularly scheduled board retreat.</w:t>
            </w:r>
          </w:p>
          <w:p w:rsidR="00EB27FA" w:rsidRPr="00131225" w:rsidRDefault="00131225" w:rsidP="00131225">
            <w:pPr>
              <w:pStyle w:val="ListParagraph"/>
              <w:numPr>
                <w:ilvl w:val="0"/>
                <w:numId w:val="12"/>
              </w:numPr>
              <w:rPr>
                <w:rFonts w:ascii="HelveticaNeueLT Std Cn" w:hAnsi="HelveticaNeueLT Std Cn"/>
                <w:sz w:val="22"/>
                <w:szCs w:val="22"/>
              </w:rPr>
            </w:pPr>
            <w:bookmarkStart w:id="0" w:name="_GoBack"/>
            <w:bookmarkEnd w:id="0"/>
            <w:r w:rsidRPr="00131225">
              <w:rPr>
                <w:rFonts w:ascii="HelveticaNeueLT Std Cn" w:hAnsi="HelveticaNeueLT Std Cn"/>
                <w:sz w:val="22"/>
                <w:szCs w:val="22"/>
              </w:rPr>
              <w:t>The board will develop a remediation plan during a future board retreat within __ year(s) from the date of the initial approval of this administrative procedure.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F7" w:rsidRDefault="000668F7" w:rsidP="00CF3BBD">
      <w:r>
        <w:separator/>
      </w:r>
    </w:p>
  </w:endnote>
  <w:endnote w:type="continuationSeparator" w:id="0">
    <w:p w:rsidR="000668F7" w:rsidRDefault="000668F7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F7" w:rsidRDefault="000668F7" w:rsidP="00CF3BBD">
      <w:r>
        <w:separator/>
      </w:r>
    </w:p>
  </w:footnote>
  <w:footnote w:type="continuationSeparator" w:id="0">
    <w:p w:rsidR="000668F7" w:rsidRDefault="000668F7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F7" w:rsidRPr="00AB52BF" w:rsidRDefault="000668F7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>
      <w:rPr>
        <w:rFonts w:ascii="HelveticaNeueLT Std Cn" w:hAnsi="HelveticaNeueLT Std Cn" w:cs="Arial"/>
        <w:i/>
      </w:rPr>
      <w:t>3/Board of Directors</w:t>
    </w:r>
  </w:p>
  <w:p w:rsidR="000668F7" w:rsidRPr="00AB52BF" w:rsidRDefault="000668F7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D5C75"/>
    <w:multiLevelType w:val="hybridMultilevel"/>
    <w:tmpl w:val="2DDC966A"/>
    <w:lvl w:ilvl="0" w:tplc="164A7404">
      <w:start w:val="3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8606C"/>
    <w:multiLevelType w:val="hybridMultilevel"/>
    <w:tmpl w:val="B4465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57323"/>
    <w:multiLevelType w:val="hybridMultilevel"/>
    <w:tmpl w:val="D1960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12B4F"/>
    <w:multiLevelType w:val="hybridMultilevel"/>
    <w:tmpl w:val="7EEEF298"/>
    <w:lvl w:ilvl="0" w:tplc="394C9BD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1"/>
  </w:num>
  <w:num w:numId="7">
    <w:abstractNumId w:val="1"/>
  </w:num>
  <w:num w:numId="8">
    <w:abstractNumId w:val="8"/>
  </w:num>
  <w:num w:numId="9">
    <w:abstractNumId w:val="12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189E"/>
    <w:rsid w:val="00113B9F"/>
    <w:rsid w:val="00117607"/>
    <w:rsid w:val="00131225"/>
    <w:rsid w:val="002D442E"/>
    <w:rsid w:val="002E1C4D"/>
    <w:rsid w:val="00363612"/>
    <w:rsid w:val="00551B45"/>
    <w:rsid w:val="005A389D"/>
    <w:rsid w:val="0065166B"/>
    <w:rsid w:val="006A0632"/>
    <w:rsid w:val="00804F0F"/>
    <w:rsid w:val="008F2C50"/>
    <w:rsid w:val="009A36BF"/>
    <w:rsid w:val="00A01A40"/>
    <w:rsid w:val="00AB52BF"/>
    <w:rsid w:val="00B247B2"/>
    <w:rsid w:val="00B26250"/>
    <w:rsid w:val="00B87870"/>
    <w:rsid w:val="00BC1F54"/>
    <w:rsid w:val="00C5088B"/>
    <w:rsid w:val="00CF3BBD"/>
    <w:rsid w:val="00E82C4B"/>
    <w:rsid w:val="00EB27FA"/>
    <w:rsid w:val="00F30522"/>
    <w:rsid w:val="00F67DBE"/>
    <w:rsid w:val="00FC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3</cp:revision>
  <dcterms:created xsi:type="dcterms:W3CDTF">2015-11-30T21:02:00Z</dcterms:created>
  <dcterms:modified xsi:type="dcterms:W3CDTF">2015-12-22T16:46:00Z</dcterms:modified>
</cp:coreProperties>
</file>