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2E1C4D" w:rsidP="009A228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9F6952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9A2283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9A2283" w:rsidP="00282EDD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Quorum for Board Meetings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A01A40" w:rsidRDefault="00A01A40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9A2283" w:rsidRDefault="009A2283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9A2283">
              <w:rPr>
                <w:rFonts w:ascii="HelveticaNeueLT Std Cn" w:hAnsi="HelveticaNeueLT Std Cn" w:cs="Arial"/>
                <w:sz w:val="22"/>
                <w:szCs w:val="22"/>
              </w:rPr>
              <w:t>This policy, which reflects common practice, defines quorum as the presence of the majority of voting board members.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9F6952" w:rsidRDefault="009F6952" w:rsidP="00172AE8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9A2283" w:rsidRPr="009A2283" w:rsidRDefault="009A2283" w:rsidP="009A228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9A2283">
              <w:rPr>
                <w:rFonts w:ascii="HelveticaNeueLT Std Cn" w:hAnsi="HelveticaNeueLT Std Cn"/>
                <w:sz w:val="22"/>
                <w:szCs w:val="22"/>
              </w:rPr>
              <w:t>A majority of the directors then in office shall constitute a quorum for the transaction of business at any meeting of the board of directors.</w:t>
            </w:r>
          </w:p>
          <w:p w:rsidR="009A2283" w:rsidRPr="009A2283" w:rsidRDefault="009A2283" w:rsidP="009A228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9F6952" w:rsidRPr="00172AE8" w:rsidRDefault="009A2283" w:rsidP="009A2283">
            <w:pPr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Except as otherwise express</w:t>
            </w:r>
            <w:r w:rsidRPr="009A2283">
              <w:rPr>
                <w:rFonts w:ascii="HelveticaNeueLT Std Cn" w:hAnsi="HelveticaNeueLT Std Cn"/>
                <w:sz w:val="22"/>
                <w:szCs w:val="22"/>
              </w:rPr>
              <w:t>ly required by law, the Articles of Incorporation of the corporation, or bylaws, the affirmative vote of a majority of the directors present at any meeting at which a quorum is present shall be the act of the board of directors. Each director shall have one vote. Voting by proxy shall not be permitted.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  <w:bookmarkStart w:id="0" w:name="_GoBack"/>
            <w:bookmarkEnd w:id="0"/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3/Board of Directors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D5C75"/>
    <w:multiLevelType w:val="hybridMultilevel"/>
    <w:tmpl w:val="2DDC966A"/>
    <w:lvl w:ilvl="0" w:tplc="164A7404">
      <w:start w:val="3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06C"/>
    <w:multiLevelType w:val="hybridMultilevel"/>
    <w:tmpl w:val="B4465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7323"/>
    <w:multiLevelType w:val="hybridMultilevel"/>
    <w:tmpl w:val="D1960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12B4F"/>
    <w:multiLevelType w:val="hybridMultilevel"/>
    <w:tmpl w:val="7EEEF298"/>
    <w:lvl w:ilvl="0" w:tplc="394C9BD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189E"/>
    <w:rsid w:val="00113B9F"/>
    <w:rsid w:val="00117607"/>
    <w:rsid w:val="00131225"/>
    <w:rsid w:val="00172AE8"/>
    <w:rsid w:val="00282EDD"/>
    <w:rsid w:val="002D442E"/>
    <w:rsid w:val="002E1C4D"/>
    <w:rsid w:val="00363612"/>
    <w:rsid w:val="00551B45"/>
    <w:rsid w:val="005A389D"/>
    <w:rsid w:val="0065166B"/>
    <w:rsid w:val="006A0632"/>
    <w:rsid w:val="00804F0F"/>
    <w:rsid w:val="008A0AF5"/>
    <w:rsid w:val="008F2C50"/>
    <w:rsid w:val="009A2283"/>
    <w:rsid w:val="009A36BF"/>
    <w:rsid w:val="009F6952"/>
    <w:rsid w:val="00A01A40"/>
    <w:rsid w:val="00AB52BF"/>
    <w:rsid w:val="00B247B2"/>
    <w:rsid w:val="00B26250"/>
    <w:rsid w:val="00B87870"/>
    <w:rsid w:val="00BC1F54"/>
    <w:rsid w:val="00C5088B"/>
    <w:rsid w:val="00CF3BBD"/>
    <w:rsid w:val="00E82C4B"/>
    <w:rsid w:val="00EB27FA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2</cp:revision>
  <dcterms:created xsi:type="dcterms:W3CDTF">2015-12-01T15:35:00Z</dcterms:created>
  <dcterms:modified xsi:type="dcterms:W3CDTF">2015-12-01T15:35:00Z</dcterms:modified>
</cp:coreProperties>
</file>