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B40C94" w:rsidRDefault="00CF3BBD" w:rsidP="00CF3BBD">
      <w:pPr>
        <w:jc w:val="center"/>
        <w:rPr>
          <w:rFonts w:ascii="HelveticaNeueLT Std Cn" w:hAnsi="HelveticaNeueLT Std Cn" w:cs="Arial"/>
          <w:b/>
          <w:bCs/>
        </w:rPr>
      </w:pPr>
      <w:r w:rsidRPr="00B40C94">
        <w:rPr>
          <w:rFonts w:ascii="HelveticaNeueLT Std Cn" w:hAnsi="HelveticaNeueLT Std Cn" w:cs="Arial"/>
          <w:b/>
          <w:bCs/>
        </w:rPr>
        <w:t>NLN Affiliated Constituent League</w:t>
      </w:r>
    </w:p>
    <w:p w:rsidR="00CF3BBD" w:rsidRPr="00B40C94" w:rsidRDefault="00CF3BBD" w:rsidP="00CF3BBD">
      <w:pPr>
        <w:jc w:val="center"/>
        <w:rPr>
          <w:rFonts w:ascii="HelveticaNeueLT Std Cn" w:hAnsi="HelveticaNeueLT Std Cn" w:cs="Arial"/>
          <w:b/>
          <w:bCs/>
        </w:rPr>
      </w:pPr>
      <w:r w:rsidRPr="00B40C94">
        <w:rPr>
          <w:rFonts w:ascii="HelveticaNeueLT Std Cn" w:hAnsi="HelveticaNeueLT Std Cn" w:cs="Arial"/>
          <w:b/>
          <w:bCs/>
        </w:rPr>
        <w:t>Policy and Procedure</w:t>
      </w:r>
    </w:p>
    <w:p w:rsidR="00CF3BBD" w:rsidRPr="00B40C94" w:rsidRDefault="00CF3BBD" w:rsidP="00CF3BBD">
      <w:pPr>
        <w:jc w:val="center"/>
        <w:rPr>
          <w:rFonts w:ascii="HelveticaNeueLT Std Cn" w:hAnsi="HelveticaNeueLT Std Cn" w:cs="Arial"/>
          <w:b/>
          <w:bCs/>
        </w:rPr>
      </w:pPr>
    </w:p>
    <w:p w:rsidR="00CF3BBD" w:rsidRPr="00B40C94" w:rsidRDefault="00CF3BBD" w:rsidP="00CF3BBD">
      <w:pPr>
        <w:pStyle w:val="Header"/>
        <w:tabs>
          <w:tab w:val="clear" w:pos="4320"/>
          <w:tab w:val="clear" w:pos="8640"/>
        </w:tabs>
        <w:rPr>
          <w:rFonts w:ascii="HelveticaNeueLT Std Cn" w:hAnsi="HelveticaNeueLT Std Cn" w:cs="Arial"/>
        </w:rPr>
      </w:pPr>
      <w:r w:rsidRPr="00B40C94">
        <w:rPr>
          <w:rFonts w:ascii="HelveticaNeueLT Std Cn" w:hAnsi="HelveticaNeueLT Std Cn" w:cs="Arial"/>
        </w:rPr>
        <w:t>Sample Template</w:t>
      </w:r>
    </w:p>
    <w:tbl>
      <w:tblPr>
        <w:tblW w:w="9576" w:type="dxa"/>
        <w:tblLayout w:type="fixed"/>
        <w:tblLook w:val="0000" w:firstRow="0" w:lastRow="0" w:firstColumn="0" w:lastColumn="0" w:noHBand="0" w:noVBand="0"/>
      </w:tblPr>
      <w:tblGrid>
        <w:gridCol w:w="3078"/>
        <w:gridCol w:w="6498"/>
      </w:tblGrid>
      <w:tr w:rsidR="00CF3BBD" w:rsidRPr="00B40C94" w:rsidTr="006425E2">
        <w:tc>
          <w:tcPr>
            <w:tcW w:w="3078" w:type="dxa"/>
          </w:tcPr>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policy number</w:t>
            </w:r>
            <w:r w:rsidRPr="00B40C94">
              <w:rPr>
                <w:rFonts w:ascii="HelveticaNeueLT Std Cn" w:hAnsi="HelveticaNeueLT Std Cn" w:cs="Arial"/>
                <w:smallCaps/>
              </w:rPr>
              <w:tab/>
            </w:r>
          </w:p>
        </w:tc>
        <w:tc>
          <w:tcPr>
            <w:tcW w:w="6498" w:type="dxa"/>
          </w:tcPr>
          <w:p w:rsidR="00CF3BBD" w:rsidRPr="00B40C94" w:rsidRDefault="00CF6F49" w:rsidP="006425E2">
            <w:pPr>
              <w:rPr>
                <w:rFonts w:ascii="HelveticaNeueLT Std Cn" w:hAnsi="HelveticaNeueLT Std Cn" w:cs="Arial"/>
                <w:b/>
                <w:smallCaps/>
              </w:rPr>
            </w:pPr>
            <w:r>
              <w:rPr>
                <w:rFonts w:ascii="HelveticaNeueLT Std Cn" w:hAnsi="HelveticaNeueLT Std Cn" w:cs="Arial"/>
                <w:b/>
                <w:smallCaps/>
              </w:rPr>
              <w:t>9.2</w:t>
            </w:r>
            <w:bookmarkStart w:id="0" w:name="_GoBack"/>
            <w:bookmarkEnd w:id="0"/>
          </w:p>
        </w:tc>
      </w:tr>
      <w:tr w:rsidR="00CF3BBD" w:rsidRPr="00B40C94" w:rsidTr="006425E2">
        <w:tc>
          <w:tcPr>
            <w:tcW w:w="3078" w:type="dxa"/>
          </w:tcPr>
          <w:p w:rsidR="00CF3BBD" w:rsidRPr="00B40C94" w:rsidRDefault="00CF3BBD" w:rsidP="006425E2">
            <w:pPr>
              <w:rPr>
                <w:rFonts w:ascii="HelveticaNeueLT Std Cn" w:hAnsi="HelveticaNeueLT Std Cn" w:cs="Arial"/>
                <w:b/>
                <w:smallCaps/>
              </w:rPr>
            </w:pPr>
          </w:p>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policy name</w:t>
            </w:r>
            <w:r w:rsidRPr="00B40C94">
              <w:rPr>
                <w:rFonts w:ascii="HelveticaNeueLT Std Cn" w:hAnsi="HelveticaNeueLT Std Cn" w:cs="Arial"/>
                <w:smallCaps/>
              </w:rPr>
              <w:tab/>
            </w:r>
            <w:r w:rsidRPr="00B40C94">
              <w:rPr>
                <w:rFonts w:ascii="HelveticaNeueLT Std Cn" w:hAnsi="HelveticaNeueLT Std Cn" w:cs="Arial"/>
                <w:smallCaps/>
              </w:rPr>
              <w:tab/>
            </w:r>
          </w:p>
        </w:tc>
        <w:tc>
          <w:tcPr>
            <w:tcW w:w="6498" w:type="dxa"/>
          </w:tcPr>
          <w:p w:rsidR="00CF3BBD" w:rsidRPr="00B40C94" w:rsidRDefault="00CF3BBD" w:rsidP="006425E2">
            <w:pPr>
              <w:rPr>
                <w:rFonts w:ascii="HelveticaNeueLT Std Cn" w:hAnsi="HelveticaNeueLT Std Cn" w:cs="Arial"/>
              </w:rPr>
            </w:pPr>
          </w:p>
          <w:p w:rsidR="00CF3BBD" w:rsidRPr="00B40C94" w:rsidRDefault="0083371E" w:rsidP="006425E2">
            <w:pPr>
              <w:pStyle w:val="Heading2"/>
              <w:rPr>
                <w:rFonts w:ascii="HelveticaNeueLT Std Cn" w:hAnsi="HelveticaNeueLT Std Cn" w:cs="Arial"/>
                <w:sz w:val="20"/>
              </w:rPr>
            </w:pPr>
            <w:r>
              <w:rPr>
                <w:rFonts w:ascii="HelveticaNeueLT Std Cn" w:hAnsi="HelveticaNeueLT Std Cn" w:cs="Arial"/>
                <w:sz w:val="20"/>
              </w:rPr>
              <w:t>Donor Relations</w:t>
            </w:r>
          </w:p>
        </w:tc>
      </w:tr>
      <w:tr w:rsidR="00CF3BBD" w:rsidRPr="00B40C94" w:rsidTr="006425E2">
        <w:tc>
          <w:tcPr>
            <w:tcW w:w="3078" w:type="dxa"/>
          </w:tcPr>
          <w:p w:rsidR="00CF3BBD" w:rsidRPr="00B40C94" w:rsidRDefault="00CF3BBD" w:rsidP="006425E2">
            <w:pPr>
              <w:rPr>
                <w:rFonts w:ascii="HelveticaNeueLT Std Cn" w:hAnsi="HelveticaNeueLT Std Cn" w:cs="Arial"/>
                <w:b/>
                <w:smallCaps/>
              </w:rPr>
            </w:pPr>
          </w:p>
          <w:p w:rsidR="00CF3BBD" w:rsidRPr="00B40C94" w:rsidRDefault="00CF3BBD" w:rsidP="006425E2">
            <w:pPr>
              <w:rPr>
                <w:rFonts w:ascii="HelveticaNeueLT Std Cn" w:hAnsi="HelveticaNeueLT Std Cn" w:cs="Arial"/>
                <w:b/>
                <w:smallCaps/>
              </w:rPr>
            </w:pPr>
            <w:r w:rsidRPr="00B40C94">
              <w:rPr>
                <w:rFonts w:ascii="HelveticaNeueLT Std Cn" w:hAnsi="HelveticaNeueLT Std Cn" w:cs="Arial"/>
                <w:b/>
                <w:smallCaps/>
              </w:rPr>
              <w:t>date of origin</w:t>
            </w:r>
          </w:p>
        </w:tc>
        <w:tc>
          <w:tcPr>
            <w:tcW w:w="6498" w:type="dxa"/>
          </w:tcPr>
          <w:p w:rsidR="00CF3BBD" w:rsidRPr="00B40C94" w:rsidRDefault="00CF3BBD" w:rsidP="006425E2">
            <w:pPr>
              <w:rPr>
                <w:rFonts w:ascii="HelveticaNeueLT Std Cn" w:hAnsi="HelveticaNeueLT Std Cn" w:cs="Arial"/>
              </w:rPr>
            </w:pPr>
          </w:p>
          <w:p w:rsidR="00CF3BBD" w:rsidRPr="00B40C94" w:rsidRDefault="00CF3BBD" w:rsidP="006425E2">
            <w:pPr>
              <w:pStyle w:val="Header"/>
              <w:tabs>
                <w:tab w:val="clear" w:pos="4320"/>
                <w:tab w:val="clear" w:pos="8640"/>
              </w:tabs>
              <w:rPr>
                <w:rFonts w:ascii="HelveticaNeueLT Std Cn" w:hAnsi="HelveticaNeueLT Std Cn" w:cs="Arial"/>
              </w:rPr>
            </w:pPr>
            <w:r w:rsidRPr="00B40C94">
              <w:rPr>
                <w:rFonts w:ascii="HelveticaNeueLT Std Cn" w:hAnsi="HelveticaNeueLT Std Cn" w:cs="Arial"/>
              </w:rPr>
              <w:t>(Date)</w:t>
            </w:r>
          </w:p>
        </w:tc>
      </w:tr>
      <w:tr w:rsidR="00CF3BBD" w:rsidRPr="00B40C94" w:rsidTr="006425E2">
        <w:tc>
          <w:tcPr>
            <w:tcW w:w="3078" w:type="dxa"/>
            <w:tcBorders>
              <w:bottom w:val="thinThickSmallGap" w:sz="12" w:space="0" w:color="auto"/>
            </w:tcBorders>
          </w:tcPr>
          <w:p w:rsidR="00CF3BBD" w:rsidRPr="00B40C94" w:rsidRDefault="00CF3BBD" w:rsidP="006425E2">
            <w:pPr>
              <w:rPr>
                <w:rFonts w:ascii="HelveticaNeueLT Std Cn" w:hAnsi="HelveticaNeueLT Std Cn" w:cs="Arial"/>
                <w:b/>
                <w:smallCaps/>
              </w:rPr>
            </w:pPr>
          </w:p>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purpose</w:t>
            </w:r>
          </w:p>
          <w:p w:rsidR="00CF3BBD" w:rsidRPr="00B40C94" w:rsidRDefault="00CF3BBD" w:rsidP="006425E2">
            <w:pPr>
              <w:rPr>
                <w:rFonts w:ascii="HelveticaNeueLT Std Cn" w:hAnsi="HelveticaNeueLT Std Cn" w:cs="Arial"/>
              </w:rPr>
            </w:pPr>
          </w:p>
        </w:tc>
        <w:tc>
          <w:tcPr>
            <w:tcW w:w="6498" w:type="dxa"/>
            <w:tcBorders>
              <w:bottom w:val="thinThickSmallGap" w:sz="12" w:space="0" w:color="auto"/>
            </w:tcBorders>
          </w:tcPr>
          <w:p w:rsidR="00CF3BBD" w:rsidRPr="00B40C94" w:rsidRDefault="00CF3BBD" w:rsidP="006425E2">
            <w:pPr>
              <w:pStyle w:val="BodyText"/>
              <w:rPr>
                <w:rFonts w:ascii="HelveticaNeueLT Std Cn" w:hAnsi="HelveticaNeueLT Std Cn" w:cs="Arial"/>
              </w:rPr>
            </w:pPr>
          </w:p>
          <w:p w:rsidR="00CF3BBD" w:rsidRPr="00B40C94" w:rsidRDefault="0083371E" w:rsidP="0083371E">
            <w:pPr>
              <w:numPr>
                <w:ilvl w:val="0"/>
                <w:numId w:val="3"/>
              </w:numPr>
              <w:rPr>
                <w:rFonts w:ascii="HelveticaNeueLT Std Cn" w:hAnsi="HelveticaNeueLT Std Cn" w:cs="Arial"/>
                <w:b/>
                <w:u w:val="single"/>
              </w:rPr>
            </w:pPr>
            <w:r w:rsidRPr="0083371E">
              <w:rPr>
                <w:rFonts w:ascii="HelveticaNeueLT Std Cn" w:hAnsi="HelveticaNeueLT Std Cn" w:cs="Arial"/>
                <w:highlight w:val="lightGray"/>
              </w:rPr>
              <w:t>This succinct policy highlights some of the key elements in donor recognition.</w:t>
            </w:r>
          </w:p>
        </w:tc>
      </w:tr>
      <w:tr w:rsidR="00CF3BBD" w:rsidRPr="00B40C94" w:rsidTr="006425E2">
        <w:tc>
          <w:tcPr>
            <w:tcW w:w="3078" w:type="dxa"/>
            <w:tcBorders>
              <w:top w:val="thinThickSmallGap" w:sz="12" w:space="0" w:color="auto"/>
            </w:tcBorders>
          </w:tcPr>
          <w:p w:rsidR="00CF3BBD" w:rsidRPr="00B40C94" w:rsidRDefault="00CF3BBD" w:rsidP="006425E2">
            <w:pPr>
              <w:rPr>
                <w:rFonts w:ascii="HelveticaNeueLT Std Cn" w:hAnsi="HelveticaNeueLT Std Cn" w:cs="Arial"/>
                <w:b/>
                <w:smallCaps/>
              </w:rPr>
            </w:pPr>
            <w:r w:rsidRPr="00B40C94">
              <w:rPr>
                <w:rFonts w:ascii="HelveticaNeueLT Std Cn" w:hAnsi="HelveticaNeueLT Std Cn" w:cs="Arial"/>
                <w:b/>
                <w:smallCaps/>
              </w:rPr>
              <w:tab/>
            </w:r>
          </w:p>
        </w:tc>
        <w:tc>
          <w:tcPr>
            <w:tcW w:w="6498" w:type="dxa"/>
            <w:tcBorders>
              <w:top w:val="thinThickSmallGap" w:sz="12" w:space="0" w:color="auto"/>
            </w:tcBorders>
          </w:tcPr>
          <w:p w:rsidR="00CF3BBD" w:rsidRPr="00B40C94" w:rsidRDefault="00CF3BBD" w:rsidP="006425E2">
            <w:pPr>
              <w:rPr>
                <w:rFonts w:ascii="HelveticaNeueLT Std Cn" w:hAnsi="HelveticaNeueLT Std Cn" w:cs="Arial"/>
                <w:b/>
              </w:rPr>
            </w:pPr>
          </w:p>
        </w:tc>
      </w:tr>
      <w:tr w:rsidR="00CF3BBD" w:rsidRPr="00B40C94" w:rsidTr="006425E2">
        <w:tc>
          <w:tcPr>
            <w:tcW w:w="3078" w:type="dxa"/>
          </w:tcPr>
          <w:p w:rsidR="00CF3BBD" w:rsidRPr="00B40C94" w:rsidRDefault="00CF3BBD" w:rsidP="006425E2">
            <w:pPr>
              <w:jc w:val="both"/>
              <w:rPr>
                <w:rFonts w:ascii="HelveticaNeueLT Std Cn" w:hAnsi="HelveticaNeueLT Std Cn" w:cs="Arial"/>
                <w:b/>
                <w:smallCaps/>
              </w:rPr>
            </w:pPr>
          </w:p>
          <w:p w:rsidR="00CF3BBD" w:rsidRPr="00B40C94" w:rsidRDefault="00CF3BBD" w:rsidP="00CF3BBD">
            <w:pPr>
              <w:numPr>
                <w:ilvl w:val="0"/>
                <w:numId w:val="2"/>
              </w:numPr>
              <w:tabs>
                <w:tab w:val="clear" w:pos="720"/>
                <w:tab w:val="num" w:pos="360"/>
              </w:tabs>
              <w:ind w:left="360" w:hanging="360"/>
              <w:jc w:val="both"/>
              <w:rPr>
                <w:rFonts w:ascii="HelveticaNeueLT Std Cn" w:hAnsi="HelveticaNeueLT Std Cn" w:cs="Arial"/>
                <w:b/>
                <w:smallCaps/>
              </w:rPr>
            </w:pPr>
            <w:r w:rsidRPr="00B40C94">
              <w:rPr>
                <w:rFonts w:ascii="HelveticaNeueLT Std Cn" w:hAnsi="HelveticaNeueLT Std Cn" w:cs="Arial"/>
                <w:b/>
                <w:smallCaps/>
              </w:rPr>
              <w:t>policy</w:t>
            </w:r>
          </w:p>
        </w:tc>
        <w:tc>
          <w:tcPr>
            <w:tcW w:w="6498" w:type="dxa"/>
          </w:tcPr>
          <w:p w:rsidR="00CF3BBD" w:rsidRPr="00B40C94" w:rsidRDefault="00CF3BBD" w:rsidP="006425E2">
            <w:pPr>
              <w:jc w:val="both"/>
              <w:rPr>
                <w:rFonts w:ascii="HelveticaNeueLT Std Cn" w:hAnsi="HelveticaNeueLT Std Cn" w:cs="Arial"/>
              </w:rPr>
            </w:pPr>
          </w:p>
          <w:p w:rsidR="0083371E" w:rsidRPr="0083371E" w:rsidRDefault="0083371E" w:rsidP="0083371E">
            <w:pPr>
              <w:rPr>
                <w:rFonts w:ascii="HelveticaNeueLT Std Cn" w:hAnsi="HelveticaNeueLT Std Cn"/>
              </w:rPr>
            </w:pPr>
            <w:r w:rsidRPr="0083371E">
              <w:rPr>
                <w:rFonts w:ascii="HelveticaNeueLT Std Cn" w:hAnsi="HelveticaNeueLT Std Cn"/>
                <w:b/>
              </w:rPr>
              <w:t>Donor Intent.</w:t>
            </w:r>
            <w:r w:rsidRPr="0083371E">
              <w:rPr>
                <w:rFonts w:ascii="HelveticaNeueLT Std Cn" w:hAnsi="HelveticaNeueLT Std Cn"/>
              </w:rPr>
              <w:t xml:space="preserve"> Donors’ wishes will be considered to the extent possible, as long as their intended use of funds is in keeping with the purpose of </w:t>
            </w:r>
            <w:r w:rsidRPr="0083371E">
              <w:rPr>
                <w:rFonts w:ascii="HelveticaNeueLT Std Cn" w:hAnsi="HelveticaNeueLT Std Cn"/>
                <w:highlight w:val="lightGray"/>
              </w:rPr>
              <w:t>XYZ</w:t>
            </w:r>
            <w:r w:rsidRPr="0083371E">
              <w:rPr>
                <w:rFonts w:ascii="HelveticaNeueLT Std Cn" w:hAnsi="HelveticaNeueLT Std Cn"/>
              </w:rPr>
              <w:t xml:space="preserve"> and with the policies and priorities of the organization as expressed in the corporate plan. </w:t>
            </w:r>
            <w:r w:rsidRPr="0083371E">
              <w:rPr>
                <w:rFonts w:ascii="HelveticaNeueLT Std Cn" w:hAnsi="HelveticaNeueLT Std Cn"/>
                <w:highlight w:val="lightGray"/>
              </w:rPr>
              <w:t>XYZ</w:t>
            </w:r>
            <w:r w:rsidRPr="0083371E">
              <w:rPr>
                <w:rFonts w:ascii="HelveticaNeueLT Std Cn" w:hAnsi="HelveticaNeueLT Std Cn"/>
              </w:rPr>
              <w:t xml:space="preserve"> will not accept a gift for which it is incapable of honoring donor intent.</w:t>
            </w:r>
          </w:p>
          <w:p w:rsidR="0083371E" w:rsidRPr="0083371E" w:rsidRDefault="0083371E" w:rsidP="0083371E">
            <w:pPr>
              <w:rPr>
                <w:rFonts w:ascii="HelveticaNeueLT Std Cn" w:hAnsi="HelveticaNeueLT Std Cn"/>
              </w:rPr>
            </w:pPr>
          </w:p>
          <w:p w:rsidR="0083371E" w:rsidRPr="0083371E" w:rsidRDefault="0083371E" w:rsidP="0083371E">
            <w:pPr>
              <w:rPr>
                <w:rFonts w:ascii="HelveticaNeueLT Std Cn" w:hAnsi="HelveticaNeueLT Std Cn"/>
              </w:rPr>
            </w:pPr>
            <w:r w:rsidRPr="0083371E">
              <w:rPr>
                <w:rFonts w:ascii="HelveticaNeueLT Std Cn" w:hAnsi="HelveticaNeueLT Std Cn"/>
                <w:b/>
              </w:rPr>
              <w:t>Acknowledgment</w:t>
            </w:r>
            <w:r w:rsidRPr="0083371E">
              <w:rPr>
                <w:rFonts w:ascii="HelveticaNeueLT Std Cn" w:hAnsi="HelveticaNeueLT Std Cn"/>
              </w:rPr>
              <w:t xml:space="preserve">. All gifts, regardless of value, form, or stipulations, shall be acknowledged by </w:t>
            </w:r>
            <w:r w:rsidRPr="0083371E">
              <w:rPr>
                <w:rFonts w:ascii="HelveticaNeueLT Std Cn" w:hAnsi="HelveticaNeueLT Std Cn"/>
                <w:highlight w:val="lightGray"/>
              </w:rPr>
              <w:t>XYZ</w:t>
            </w:r>
            <w:r w:rsidRPr="0083371E">
              <w:rPr>
                <w:rFonts w:ascii="HelveticaNeueLT Std Cn" w:hAnsi="HelveticaNeueLT Std Cn"/>
              </w:rPr>
              <w:t xml:space="preserve"> in the form of a written substantiation, including a gift receipt.</w:t>
            </w:r>
          </w:p>
          <w:p w:rsidR="0083371E" w:rsidRPr="0083371E" w:rsidRDefault="0083371E" w:rsidP="0083371E">
            <w:pPr>
              <w:rPr>
                <w:rFonts w:ascii="HelveticaNeueLT Std Cn" w:hAnsi="HelveticaNeueLT Std Cn"/>
              </w:rPr>
            </w:pPr>
          </w:p>
          <w:p w:rsidR="0083371E" w:rsidRPr="0083371E" w:rsidRDefault="0083371E" w:rsidP="0083371E">
            <w:pPr>
              <w:rPr>
                <w:rFonts w:ascii="HelveticaNeueLT Std Cn" w:hAnsi="HelveticaNeueLT Std Cn"/>
              </w:rPr>
            </w:pPr>
            <w:r w:rsidRPr="0083371E">
              <w:rPr>
                <w:rFonts w:ascii="HelveticaNeueLT Std Cn" w:hAnsi="HelveticaNeueLT Std Cn"/>
                <w:b/>
              </w:rPr>
              <w:t>Recognition</w:t>
            </w:r>
            <w:r w:rsidRPr="0083371E">
              <w:rPr>
                <w:rFonts w:ascii="HelveticaNeueLT Std Cn" w:hAnsi="HelveticaNeueLT Std Cn"/>
              </w:rPr>
              <w:t>. Formal recognition of donors includes methods that convey appreciation to the donor and provide opportunities for public acknowledgment.</w:t>
            </w:r>
          </w:p>
          <w:p w:rsidR="0083371E" w:rsidRPr="0083371E" w:rsidRDefault="0083371E" w:rsidP="0083371E">
            <w:pPr>
              <w:rPr>
                <w:rFonts w:ascii="HelveticaNeueLT Std Cn" w:hAnsi="HelveticaNeueLT Std Cn"/>
              </w:rPr>
            </w:pPr>
          </w:p>
          <w:p w:rsidR="0083371E" w:rsidRPr="0083371E" w:rsidRDefault="0083371E" w:rsidP="0083371E">
            <w:pPr>
              <w:rPr>
                <w:rFonts w:ascii="HelveticaNeueLT Std Cn" w:hAnsi="HelveticaNeueLT Std Cn"/>
              </w:rPr>
            </w:pPr>
            <w:r w:rsidRPr="0083371E">
              <w:rPr>
                <w:rFonts w:ascii="HelveticaNeueLT Std Cn" w:hAnsi="HelveticaNeueLT Std Cn"/>
                <w:b/>
              </w:rPr>
              <w:t>Public Notice</w:t>
            </w:r>
            <w:r w:rsidRPr="0083371E">
              <w:rPr>
                <w:rFonts w:ascii="HelveticaNeueLT Std Cn" w:hAnsi="HelveticaNeueLT Std Cn"/>
              </w:rPr>
              <w:t xml:space="preserve">. </w:t>
            </w:r>
            <w:r w:rsidRPr="0083371E">
              <w:rPr>
                <w:rFonts w:ascii="HelveticaNeueLT Std Cn" w:hAnsi="HelveticaNeueLT Std Cn"/>
                <w:highlight w:val="lightGray"/>
              </w:rPr>
              <w:t>XYZ</w:t>
            </w:r>
            <w:r w:rsidRPr="0083371E">
              <w:rPr>
                <w:rFonts w:ascii="HelveticaNeueLT Std Cn" w:hAnsi="HelveticaNeueLT Std Cn"/>
              </w:rPr>
              <w:t xml:space="preserve"> will respect a donor’s wish to remain anonymous.</w:t>
            </w:r>
          </w:p>
          <w:p w:rsidR="0083371E" w:rsidRPr="0083371E" w:rsidRDefault="0083371E" w:rsidP="0083371E">
            <w:pPr>
              <w:rPr>
                <w:rFonts w:ascii="HelveticaNeueLT Std Cn" w:hAnsi="HelveticaNeueLT Std Cn"/>
              </w:rPr>
            </w:pPr>
          </w:p>
          <w:p w:rsidR="00CF3BBD" w:rsidRPr="00B40C94" w:rsidRDefault="0083371E" w:rsidP="0083371E">
            <w:pPr>
              <w:jc w:val="both"/>
              <w:rPr>
                <w:rFonts w:ascii="HelveticaNeueLT Std Cn" w:hAnsi="HelveticaNeueLT Std Cn" w:cs="Arial"/>
              </w:rPr>
            </w:pPr>
            <w:r w:rsidRPr="0083371E">
              <w:rPr>
                <w:rFonts w:ascii="HelveticaNeueLT Std Cn" w:hAnsi="HelveticaNeueLT Std Cn"/>
                <w:b/>
              </w:rPr>
              <w:t>Confidentiality</w:t>
            </w:r>
            <w:r w:rsidRPr="0083371E">
              <w:rPr>
                <w:rFonts w:ascii="HelveticaNeueLT Std Cn" w:hAnsi="HelveticaNeueLT Std Cn"/>
              </w:rPr>
              <w:t xml:space="preserve">. The fund development unit shall maintain confidentiality concerning all correspondence regarding contributions, gift records, prospect cards, and other data on donors, and will ensure that this donor information is used on a need-to-know-basis only for the support of fund development for </w:t>
            </w:r>
            <w:r w:rsidRPr="0083371E">
              <w:rPr>
                <w:rFonts w:ascii="HelveticaNeueLT Std Cn" w:hAnsi="HelveticaNeueLT Std Cn"/>
                <w:highlight w:val="lightGray"/>
              </w:rPr>
              <w:t>XYZ</w:t>
            </w:r>
            <w:r w:rsidRPr="0083371E">
              <w:rPr>
                <w:rFonts w:ascii="HelveticaNeueLT Std Cn" w:hAnsi="HelveticaNeueLT Std Cn"/>
              </w:rPr>
              <w:t>.</w:t>
            </w:r>
          </w:p>
        </w:tc>
      </w:tr>
    </w:tbl>
    <w:p w:rsidR="00CF3BBD" w:rsidRPr="00B40C94" w:rsidRDefault="00CF3BBD" w:rsidP="00CF3BBD">
      <w:pPr>
        <w:rPr>
          <w:rFonts w:ascii="HelveticaNeueLT Std Cn" w:hAnsi="HelveticaNeueLT Std Cn" w:cs="Arial"/>
        </w:rPr>
      </w:pPr>
    </w:p>
    <w:p w:rsidR="00CF3BBD" w:rsidRPr="00B40C94" w:rsidRDefault="00CF3BBD" w:rsidP="00CF3BBD">
      <w:pPr>
        <w:rPr>
          <w:rFonts w:ascii="HelveticaNeueLT Std Cn" w:hAnsi="HelveticaNeueLT Std Cn" w:cs="Arial"/>
        </w:rPr>
      </w:pPr>
      <w:r w:rsidRPr="00B40C94">
        <w:rPr>
          <w:rFonts w:ascii="HelveticaNeueLT Std Cn" w:hAnsi="HelveticaNeueLT Std Cn" w:cs="Arial"/>
        </w:rPr>
        <w:t>Revision Dates:</w:t>
      </w:r>
    </w:p>
    <w:p w:rsidR="00CF3BBD" w:rsidRPr="00B40C9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B40C94" w:rsidRDefault="00CF3BBD" w:rsidP="00CF3BBD">
      <w:pPr>
        <w:pStyle w:val="Header"/>
        <w:numPr>
          <w:ilvl w:val="0"/>
          <w:numId w:val="1"/>
        </w:numPr>
        <w:tabs>
          <w:tab w:val="clear" w:pos="4320"/>
          <w:tab w:val="clear" w:pos="8640"/>
        </w:tabs>
        <w:rPr>
          <w:rFonts w:ascii="HelveticaNeueLT Std Cn" w:hAnsi="HelveticaNeueLT Std Cn" w:cs="Arial"/>
        </w:rPr>
      </w:pPr>
    </w:p>
    <w:p w:rsidR="00323B9D" w:rsidRDefault="00CF6F49"/>
    <w:sectPr w:rsidR="00323B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94" w:rsidRDefault="00B40C94" w:rsidP="00CF3BBD">
      <w:r>
        <w:separator/>
      </w:r>
    </w:p>
  </w:endnote>
  <w:endnote w:type="continuationSeparator" w:id="0">
    <w:p w:rsidR="00B40C94" w:rsidRDefault="00B40C94"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94" w:rsidRDefault="00B40C94" w:rsidP="00CF3BBD">
      <w:r>
        <w:separator/>
      </w:r>
    </w:p>
  </w:footnote>
  <w:footnote w:type="continuationSeparator" w:id="0">
    <w:p w:rsidR="00B40C94" w:rsidRDefault="00B40C94"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BD" w:rsidRPr="00B40C94" w:rsidRDefault="00CF3BBD" w:rsidP="00CF3BBD">
    <w:pPr>
      <w:tabs>
        <w:tab w:val="center" w:pos="4320"/>
        <w:tab w:val="right" w:pos="9450"/>
      </w:tabs>
      <w:ind w:right="-90"/>
      <w:jc w:val="right"/>
      <w:rPr>
        <w:rFonts w:ascii="HelveticaNeueLT Std Cn" w:hAnsi="HelveticaNeueLT Std Cn" w:cs="Arial"/>
        <w:i/>
      </w:rPr>
    </w:pPr>
    <w:r w:rsidRPr="00B40C94">
      <w:rPr>
        <w:rFonts w:ascii="HelveticaNeueLT Std Cn" w:hAnsi="HelveticaNeueLT Std Cn" w:cs="Arial"/>
        <w:i/>
      </w:rPr>
      <w:t>NLN Affiliated Constituent League Policy Manual/</w:t>
    </w:r>
    <w:r w:rsidRPr="00CF6F49">
      <w:rPr>
        <w:rFonts w:ascii="HelveticaNeueLT Std Cn" w:hAnsi="HelveticaNeueLT Std Cn" w:cs="Arial"/>
        <w:i/>
      </w:rPr>
      <w:t xml:space="preserve">Section </w:t>
    </w:r>
    <w:r w:rsidR="00CF6F49">
      <w:rPr>
        <w:rFonts w:ascii="HelveticaNeueLT Std Cn" w:hAnsi="HelveticaNeueLT Std Cn" w:cs="Arial"/>
        <w:i/>
      </w:rPr>
      <w:t>Nine</w:t>
    </w:r>
    <w:r w:rsidRPr="00B40C94">
      <w:rPr>
        <w:rFonts w:ascii="HelveticaNeueLT Std Cn" w:hAnsi="HelveticaNeueLT Std Cn" w:cs="Arial"/>
        <w:i/>
      </w:rPr>
      <w:t>/</w:t>
    </w:r>
    <w:r w:rsidR="00B40C94">
      <w:rPr>
        <w:rFonts w:ascii="HelveticaNeueLT Std Cn" w:hAnsi="HelveticaNeueLT Std Cn" w:cs="Arial"/>
        <w:i/>
      </w:rPr>
      <w:t>Fundraising</w:t>
    </w:r>
  </w:p>
  <w:p w:rsidR="00CF3BBD" w:rsidRDefault="00CF3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617C37"/>
    <w:multiLevelType w:val="hybridMultilevel"/>
    <w:tmpl w:val="27DC7AB8"/>
    <w:lvl w:ilvl="0" w:tplc="4AD416AE">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94"/>
    <w:rsid w:val="00117607"/>
    <w:rsid w:val="00234E9C"/>
    <w:rsid w:val="00551B45"/>
    <w:rsid w:val="0065166B"/>
    <w:rsid w:val="00804F0F"/>
    <w:rsid w:val="0083371E"/>
    <w:rsid w:val="009A36BF"/>
    <w:rsid w:val="00B40C94"/>
    <w:rsid w:val="00B87870"/>
    <w:rsid w:val="00CF3BBD"/>
    <w:rsid w:val="00C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2015-12-22T17:23:00Z</dcterms:created>
  <dcterms:modified xsi:type="dcterms:W3CDTF">2015-12-22T19:25:00Z</dcterms:modified>
</cp:coreProperties>
</file>