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59" w:rsidRPr="00AE57F6" w:rsidRDefault="00014759" w:rsidP="004514C1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Nati</w:t>
      </w:r>
      <w:r w:rsidRPr="00AE57F6">
        <w:rPr>
          <w:rFonts w:ascii="Garamond" w:hAnsi="Garamond" w:cs="Garamond"/>
          <w:b/>
          <w:bCs/>
        </w:rPr>
        <w:t>onal League for Nursing</w:t>
      </w:r>
    </w:p>
    <w:p w:rsidR="00014759" w:rsidRPr="00AE57F6" w:rsidRDefault="00014759" w:rsidP="004514C1">
      <w:pPr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Nursing </w:t>
      </w:r>
      <w:r w:rsidRPr="00AE57F6">
        <w:rPr>
          <w:rFonts w:ascii="Garamond" w:hAnsi="Garamond" w:cs="Garamond"/>
          <w:b/>
          <w:bCs/>
        </w:rPr>
        <w:t>Education Research Grant Proposal Review Rubric</w:t>
      </w:r>
    </w:p>
    <w:p w:rsidR="00014759" w:rsidRPr="00AE57F6" w:rsidRDefault="00014759" w:rsidP="00CD3B5B">
      <w:pPr>
        <w:rPr>
          <w:rFonts w:ascii="Garamond" w:hAnsi="Garamond" w:cs="Garamond"/>
        </w:rPr>
      </w:pPr>
    </w:p>
    <w:p w:rsidR="00014759" w:rsidRDefault="00014759" w:rsidP="00CD3B5B">
      <w:pPr>
        <w:rPr>
          <w:rFonts w:ascii="Garamond" w:hAnsi="Garamond" w:cs="Garamond"/>
        </w:rPr>
      </w:pPr>
      <w:r w:rsidRPr="00AE57F6">
        <w:rPr>
          <w:rFonts w:ascii="Garamond" w:hAnsi="Garamond" w:cs="Garamond"/>
        </w:rPr>
        <w:t>The Proposal Review Rubric below</w:t>
      </w:r>
      <w:r w:rsidR="000F79D8">
        <w:rPr>
          <w:rFonts w:ascii="Garamond" w:hAnsi="Garamond" w:cs="Garamond"/>
        </w:rPr>
        <w:t xml:space="preserve"> addresses </w:t>
      </w:r>
      <w:r w:rsidR="00F07DC9">
        <w:rPr>
          <w:rFonts w:ascii="Garamond" w:hAnsi="Garamond" w:cs="Garamond"/>
        </w:rPr>
        <w:t>grant proposal criteria used to review each grant submission.</w:t>
      </w:r>
      <w:r w:rsidRPr="00AE57F6">
        <w:rPr>
          <w:rFonts w:ascii="Garamond" w:hAnsi="Garamond" w:cs="Garamond"/>
        </w:rPr>
        <w:t xml:space="preserve"> Components of the rubric are weighted</w:t>
      </w:r>
      <w:r w:rsidR="008C6DC1">
        <w:rPr>
          <w:rFonts w:ascii="Garamond" w:hAnsi="Garamond" w:cs="Garamond"/>
        </w:rPr>
        <w:t xml:space="preserve"> in three categories</w:t>
      </w:r>
      <w:r w:rsidRPr="00AE57F6">
        <w:rPr>
          <w:rFonts w:ascii="Garamond" w:hAnsi="Garamond" w:cs="Garamond"/>
        </w:rPr>
        <w:t xml:space="preserve">. Applicable components that are missing will receive a 0 and the component will be included in the percentage score. We will provide </w:t>
      </w:r>
      <w:r w:rsidRPr="00AE57F6">
        <w:rPr>
          <w:rFonts w:ascii="Garamond" w:hAnsi="Garamond" w:cs="Garamond"/>
          <w:u w:val="single"/>
        </w:rPr>
        <w:t>only</w:t>
      </w:r>
      <w:r w:rsidRPr="00AE57F6">
        <w:rPr>
          <w:rFonts w:ascii="Garamond" w:hAnsi="Garamond" w:cs="Garamond"/>
        </w:rPr>
        <w:t xml:space="preserve"> the summary comments to applicants</w:t>
      </w:r>
      <w:r w:rsidR="00AE4CCA">
        <w:rPr>
          <w:rFonts w:ascii="Garamond" w:hAnsi="Garamond" w:cs="Garamond"/>
        </w:rPr>
        <w:t xml:space="preserve"> who are not funded</w:t>
      </w:r>
      <w:r w:rsidRPr="00AE57F6">
        <w:rPr>
          <w:rFonts w:ascii="Garamond" w:hAnsi="Garamond" w:cs="Garamond"/>
        </w:rPr>
        <w:t xml:space="preserve">. </w:t>
      </w:r>
    </w:p>
    <w:p w:rsidR="00564D3E" w:rsidRPr="00AE57F6" w:rsidRDefault="00564D3E" w:rsidP="00CD3B5B">
      <w:pPr>
        <w:rPr>
          <w:rFonts w:ascii="Garamond" w:hAnsi="Garamond" w:cs="Garamond"/>
        </w:rPr>
      </w:pP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0"/>
        <w:gridCol w:w="1820"/>
        <w:gridCol w:w="1821"/>
        <w:gridCol w:w="1821"/>
        <w:gridCol w:w="1821"/>
        <w:gridCol w:w="1821"/>
      </w:tblGrid>
      <w:tr w:rsidR="00014759" w:rsidRPr="00AE57F6" w:rsidTr="00C14FF3">
        <w:trPr>
          <w:trHeight w:val="288"/>
          <w:tblHeader/>
          <w:jc w:val="center"/>
        </w:trPr>
        <w:tc>
          <w:tcPr>
            <w:tcW w:w="10924" w:type="dxa"/>
            <w:gridSpan w:val="6"/>
          </w:tcPr>
          <w:p w:rsidR="00014759" w:rsidRPr="00AE57F6" w:rsidRDefault="00014759" w:rsidP="00921A7B">
            <w:pPr>
              <w:jc w:val="center"/>
              <w:rPr>
                <w:rFonts w:ascii="Garamond" w:hAnsi="Garamond" w:cs="Garamond"/>
                <w:b/>
                <w:bCs/>
                <w:color w:val="000000"/>
                <w:u w:val="single"/>
              </w:rPr>
            </w:pPr>
            <w:r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PROPOSAL REVIEW RUBRIC </w:t>
            </w:r>
          </w:p>
        </w:tc>
      </w:tr>
      <w:tr w:rsidR="00014759" w:rsidRPr="00AE57F6" w:rsidTr="00C14FF3">
        <w:trPr>
          <w:trHeight w:val="288"/>
          <w:tblHeader/>
          <w:jc w:val="center"/>
        </w:trPr>
        <w:tc>
          <w:tcPr>
            <w:tcW w:w="1820" w:type="dxa"/>
            <w:noWrap/>
          </w:tcPr>
          <w:p w:rsidR="00014759" w:rsidRPr="00AE57F6" w:rsidRDefault="00014759" w:rsidP="00DD0146">
            <w:pPr>
              <w:ind w:firstLineChars="1500" w:firstLine="360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0" w:type="dxa"/>
            <w:noWrap/>
          </w:tcPr>
          <w:p w:rsidR="00014759" w:rsidRPr="00AE57F6" w:rsidRDefault="00014759" w:rsidP="00DD0146">
            <w:pPr>
              <w:ind w:leftChars="-45" w:left="-108"/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</w:rPr>
            </w:pPr>
            <w:r w:rsidRPr="00AE57F6"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Excellent = 4</w:t>
            </w:r>
          </w:p>
        </w:tc>
        <w:tc>
          <w:tcPr>
            <w:tcW w:w="1821" w:type="dxa"/>
          </w:tcPr>
          <w:p w:rsidR="00014759" w:rsidRPr="00AE57F6" w:rsidRDefault="00014759" w:rsidP="00DD0146">
            <w:pPr>
              <w:ind w:leftChars="-2" w:hangingChars="2" w:hanging="5"/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</w:rPr>
            </w:pPr>
            <w:r w:rsidRPr="00AE57F6"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Good = 3</w:t>
            </w:r>
          </w:p>
        </w:tc>
        <w:tc>
          <w:tcPr>
            <w:tcW w:w="1821" w:type="dxa"/>
          </w:tcPr>
          <w:p w:rsidR="00014759" w:rsidRPr="00AE57F6" w:rsidRDefault="00014759" w:rsidP="00DD0146">
            <w:pPr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</w:rPr>
            </w:pPr>
            <w:r w:rsidRPr="00AE57F6"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Fair = 2</w:t>
            </w:r>
          </w:p>
        </w:tc>
        <w:tc>
          <w:tcPr>
            <w:tcW w:w="1821" w:type="dxa"/>
            <w:noWrap/>
          </w:tcPr>
          <w:p w:rsidR="00014759" w:rsidRPr="00AE57F6" w:rsidRDefault="00014759" w:rsidP="00DD0146">
            <w:pPr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</w:rPr>
            </w:pPr>
            <w:r w:rsidRPr="00AE57F6"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Poor = 1</w:t>
            </w:r>
          </w:p>
        </w:tc>
        <w:tc>
          <w:tcPr>
            <w:tcW w:w="1821" w:type="dxa"/>
          </w:tcPr>
          <w:p w:rsidR="00014759" w:rsidRPr="00AE57F6" w:rsidRDefault="00DC672E" w:rsidP="00DD0146">
            <w:pPr>
              <w:jc w:val="center"/>
              <w:rPr>
                <w:rFonts w:ascii="Garamond" w:hAnsi="Garamond" w:cs="Garamond"/>
                <w:b/>
                <w:bCs/>
                <w:i/>
                <w:i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Missing</w:t>
            </w:r>
            <w:r w:rsidR="00014759" w:rsidRPr="00AE57F6"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i/>
                <w:iCs/>
                <w:color w:val="000000"/>
              </w:rPr>
              <w:t>= 0</w:t>
            </w:r>
          </w:p>
        </w:tc>
      </w:tr>
      <w:tr w:rsidR="00AE4CCA" w:rsidRPr="00AE57F6" w:rsidTr="00C14FF3">
        <w:trPr>
          <w:trHeight w:val="377"/>
          <w:jc w:val="center"/>
        </w:trPr>
        <w:tc>
          <w:tcPr>
            <w:tcW w:w="10924" w:type="dxa"/>
            <w:gridSpan w:val="6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E4CCA" w:rsidRPr="005D1524" w:rsidRDefault="00AE4CCA" w:rsidP="003D3831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Garamond"/>
                <w:color w:val="000000"/>
              </w:rPr>
            </w:pPr>
            <w:r w:rsidRPr="005D1524">
              <w:rPr>
                <w:rFonts w:ascii="Garamond" w:hAnsi="Garamond" w:cs="Garamond"/>
                <w:b/>
                <w:bCs/>
                <w:color w:val="000000"/>
              </w:rPr>
              <w:t>Advancing</w:t>
            </w:r>
            <w:r w:rsidR="003D3831">
              <w:rPr>
                <w:rFonts w:ascii="Garamond" w:hAnsi="Garamond" w:cs="Garamond"/>
                <w:b/>
                <w:bCs/>
                <w:color w:val="000000"/>
              </w:rPr>
              <w:t xml:space="preserve"> the Science</w:t>
            </w:r>
            <w:r w:rsidRPr="005D1524"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  <w:r w:rsidR="003D3831">
              <w:rPr>
                <w:rFonts w:ascii="Garamond" w:hAnsi="Garamond" w:cs="Garamond"/>
                <w:b/>
                <w:bCs/>
                <w:color w:val="000000"/>
              </w:rPr>
              <w:t xml:space="preserve">of </w:t>
            </w:r>
            <w:r w:rsidRPr="005D1524">
              <w:rPr>
                <w:rFonts w:ascii="Garamond" w:hAnsi="Garamond" w:cs="Garamond"/>
                <w:b/>
                <w:bCs/>
                <w:color w:val="000000"/>
              </w:rPr>
              <w:t>Nursing Education (30%)</w:t>
            </w:r>
          </w:p>
        </w:tc>
      </w:tr>
      <w:tr w:rsidR="005D1524" w:rsidRPr="00AE57F6" w:rsidTr="00C14FF3">
        <w:trPr>
          <w:trHeight w:val="9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24" w:rsidRPr="007233E0" w:rsidRDefault="007233E0" w:rsidP="007233E0">
            <w:pPr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</w:t>
            </w:r>
            <w:r w:rsidR="005D1524"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1. Purpose with direct link</w:t>
            </w:r>
            <w:r w:rsidR="008C6DC1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age</w:t>
            </w:r>
            <w:r w:rsidR="005D1524"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to </w:t>
            </w:r>
            <w:hyperlink r:id="rId7" w:history="1">
              <w:r w:rsidR="005D1524" w:rsidRPr="007233E0">
                <w:rPr>
                  <w:rStyle w:val="Hyperlink"/>
                  <w:rFonts w:ascii="Garamond" w:hAnsi="Garamond" w:cs="Garamond"/>
                  <w:b/>
                  <w:bCs/>
                  <w:sz w:val="22"/>
                  <w:szCs w:val="22"/>
                </w:rPr>
                <w:t xml:space="preserve">NLN Research </w:t>
              </w:r>
              <w:r w:rsidRPr="007233E0">
                <w:rPr>
                  <w:rStyle w:val="Hyperlink"/>
                  <w:rFonts w:ascii="Garamond" w:hAnsi="Garamond" w:cs="Garamond"/>
                  <w:b/>
                  <w:bCs/>
                  <w:sz w:val="22"/>
                  <w:szCs w:val="22"/>
                </w:rPr>
                <w:t>Priorities in Nursing Education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1524" w:rsidRPr="007233E0" w:rsidRDefault="005D1524" w:rsidP="006E074D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Very clear purpose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  <w:r w:rsidR="007233E0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Description</w:t>
            </w:r>
            <w:r w:rsidR="006E074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with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s</w:t>
            </w:r>
            <w:r w:rsidR="007233E0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trong link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age</w:t>
            </w:r>
            <w:r w:rsidR="007233E0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to NLN 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Research </w:t>
            </w:r>
            <w:r w:rsidR="007233E0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Priorities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24" w:rsidRPr="007233E0" w:rsidRDefault="005D1524" w:rsidP="006E074D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Clear purpose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Description </w:t>
            </w:r>
            <w:r w:rsidR="006E074D">
              <w:rPr>
                <w:rFonts w:ascii="Garamond" w:hAnsi="Garamond" w:cs="Garamond"/>
                <w:color w:val="000000"/>
                <w:sz w:val="22"/>
                <w:szCs w:val="22"/>
              </w:rPr>
              <w:t>with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a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>dequate link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age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to NLN Research Priorities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24" w:rsidRPr="007233E0" w:rsidRDefault="005D1524" w:rsidP="006E074D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Purpose mostly clear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Description </w:t>
            </w:r>
            <w:r w:rsidR="006E074D">
              <w:rPr>
                <w:rFonts w:ascii="Garamond" w:hAnsi="Garamond" w:cs="Garamond"/>
                <w:color w:val="000000"/>
                <w:sz w:val="22"/>
                <w:szCs w:val="22"/>
              </w:rPr>
              <w:t>with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w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>eak link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age</w:t>
            </w:r>
            <w:r w:rsid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to NLN Research Priorities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24" w:rsidRDefault="005D1524" w:rsidP="008C6D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Purpose not clear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.</w:t>
            </w:r>
            <w:r w:rsidR="00F1562C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Description </w:t>
            </w:r>
            <w:r w:rsidR="00F1562C">
              <w:rPr>
                <w:rFonts w:ascii="Garamond" w:hAnsi="Garamond" w:cs="Garamond"/>
                <w:color w:val="000000"/>
                <w:sz w:val="22"/>
                <w:szCs w:val="22"/>
              </w:rPr>
              <w:t>with inadequate link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age</w:t>
            </w:r>
            <w:r w:rsidR="00F1562C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to NLN Research Priorities</w:t>
            </w:r>
          </w:p>
          <w:p w:rsidR="00084772" w:rsidRPr="007233E0" w:rsidRDefault="00084772" w:rsidP="008C6DC1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24" w:rsidRPr="007233E0" w:rsidRDefault="00564D3E" w:rsidP="002D4625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</w:t>
            </w:r>
            <w:r w:rsidR="005D1524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ink</w:t>
            </w:r>
            <w:r w:rsidR="008C6DC1">
              <w:rPr>
                <w:rFonts w:ascii="Garamond" w:hAnsi="Garamond" w:cs="Garamond"/>
                <w:color w:val="000000"/>
                <w:sz w:val="22"/>
                <w:szCs w:val="22"/>
              </w:rPr>
              <w:t>age</w:t>
            </w:r>
            <w:r w:rsidR="005D1524"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="00F1562C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to NLN Research Priorities 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not </w:t>
            </w:r>
            <w:r w:rsidR="002D4625">
              <w:rPr>
                <w:rFonts w:ascii="Garamond" w:hAnsi="Garamond" w:cs="Garamond"/>
                <w:color w:val="000000"/>
                <w:sz w:val="22"/>
                <w:szCs w:val="22"/>
              </w:rPr>
              <w:t>addressed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A2. B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ackground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to support the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need for the study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to advance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the 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science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of 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nursing education </w:t>
            </w:r>
          </w:p>
          <w:p w:rsidR="008C6DC1" w:rsidRDefault="008C6DC1" w:rsidP="007233E0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1" w:rsidRPr="007233E0" w:rsidRDefault="008C6DC1" w:rsidP="007233E0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Background clearly identifies need for the study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Background provides some need for the study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Background 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to support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need for the study not very clear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Limited background to support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need for the study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Default="008C6DC1" w:rsidP="002D4625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Need not addressed in background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A3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. Review of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relevant </w:t>
            </w:r>
            <w:r w:rsidRPr="007233E0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literature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Literature cited is very pertinent and timely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Literature cited is mostly pertinent and timely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Default="008C6DC1" w:rsidP="008C6D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Literature review lacks pertinence or is </w:t>
            </w:r>
            <w:r w:rsidR="00BB2C7D">
              <w:rPr>
                <w:rFonts w:ascii="Garamond" w:hAnsi="Garamond" w:cs="Garamond"/>
                <w:color w:val="000000"/>
                <w:sz w:val="22"/>
                <w:szCs w:val="22"/>
              </w:rPr>
              <w:t>out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dated</w:t>
            </w:r>
          </w:p>
          <w:p w:rsidR="00084772" w:rsidRPr="007233E0" w:rsidRDefault="00084772" w:rsidP="008C6DC1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Literature review lacks pertinence 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  <w:u w:val="single"/>
              </w:rPr>
              <w:t>and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is </w:t>
            </w:r>
            <w:r w:rsidR="00BB2C7D">
              <w:rPr>
                <w:rFonts w:ascii="Garamond" w:hAnsi="Garamond" w:cs="Garamond"/>
                <w:color w:val="000000"/>
                <w:sz w:val="22"/>
                <w:szCs w:val="22"/>
              </w:rPr>
              <w:t>out</w:t>
            </w:r>
            <w:r w:rsidRPr="007233E0">
              <w:rPr>
                <w:rFonts w:ascii="Garamond" w:hAnsi="Garamond" w:cs="Garamond"/>
                <w:color w:val="000000"/>
                <w:sz w:val="22"/>
                <w:szCs w:val="22"/>
              </w:rPr>
              <w:t>dated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7233E0" w:rsidRDefault="008C6DC1" w:rsidP="00564D3E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Relevant literature not addressed</w:t>
            </w:r>
          </w:p>
        </w:tc>
      </w:tr>
      <w:tr w:rsidR="008C6DC1" w:rsidRPr="00CF0DDF" w:rsidTr="006E074D">
        <w:trPr>
          <w:trHeight w:val="129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6E074D" w:rsidRDefault="008C6DC1" w:rsidP="006E074D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A4</w:t>
            </w:r>
            <w:r w:rsidRPr="003D3831">
              <w:rPr>
                <w:rFonts w:ascii="Garamond" w:hAnsi="Garamond" w:cs="Garamond"/>
                <w:b/>
                <w:bCs/>
                <w:sz w:val="22"/>
                <w:szCs w:val="22"/>
              </w:rPr>
              <w:t>. Significance to nursing educ</w:t>
            </w:r>
            <w:r w:rsidR="006E074D">
              <w:rPr>
                <w:rFonts w:ascii="Garamond" w:hAnsi="Garamond" w:cs="Garamond"/>
                <w:b/>
                <w:bCs/>
                <w:sz w:val="22"/>
                <w:szCs w:val="22"/>
              </w:rPr>
              <w:t>a</w:t>
            </w:r>
            <w:r w:rsidRPr="003D3831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tion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1" w:rsidRPr="003D3831" w:rsidRDefault="008C6DC1" w:rsidP="00083C0B">
            <w:pPr>
              <w:rPr>
                <w:rFonts w:ascii="Garamond" w:hAnsi="Garamond" w:cs="Garamond"/>
              </w:rPr>
            </w:pPr>
            <w:r w:rsidRPr="003D3831">
              <w:rPr>
                <w:rFonts w:ascii="Garamond" w:hAnsi="Garamond" w:cs="Garamond"/>
                <w:sz w:val="22"/>
                <w:szCs w:val="22"/>
              </w:rPr>
              <w:t>Very high significance for nursing education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3D3831" w:rsidRDefault="008C6DC1" w:rsidP="005831A7">
            <w:pPr>
              <w:rPr>
                <w:rFonts w:ascii="Garamond" w:hAnsi="Garamond" w:cs="Garamond"/>
              </w:rPr>
            </w:pPr>
            <w:r w:rsidRPr="003D3831">
              <w:rPr>
                <w:rFonts w:ascii="Garamond" w:hAnsi="Garamond" w:cs="Garamond"/>
                <w:sz w:val="22"/>
                <w:szCs w:val="22"/>
              </w:rPr>
              <w:t>High significance for nursing education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3D3831" w:rsidRDefault="008C6DC1" w:rsidP="005831A7">
            <w:pPr>
              <w:rPr>
                <w:rFonts w:ascii="Garamond" w:hAnsi="Garamond" w:cs="Garamond"/>
              </w:rPr>
            </w:pPr>
            <w:r w:rsidRPr="003D3831">
              <w:rPr>
                <w:rFonts w:ascii="Garamond" w:hAnsi="Garamond" w:cs="Garamond"/>
                <w:sz w:val="22"/>
                <w:szCs w:val="22"/>
              </w:rPr>
              <w:t>Fair significance for nursing education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3D3831" w:rsidRDefault="008C6DC1" w:rsidP="00083C0B">
            <w:pPr>
              <w:rPr>
                <w:rFonts w:ascii="Garamond" w:hAnsi="Garamond" w:cs="Garamond"/>
              </w:rPr>
            </w:pPr>
            <w:r w:rsidRPr="003D3831">
              <w:rPr>
                <w:rFonts w:ascii="Garamond" w:hAnsi="Garamond" w:cs="Garamond"/>
                <w:sz w:val="22"/>
                <w:szCs w:val="22"/>
              </w:rPr>
              <w:t>Limited significance for nursing education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3D3831" w:rsidRDefault="008C6DC1" w:rsidP="005831A7">
            <w:pPr>
              <w:rPr>
                <w:rFonts w:ascii="Garamond" w:hAnsi="Garamond" w:cs="Garamond"/>
                <w:color w:val="FF0000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564D3E">
              <w:rPr>
                <w:rFonts w:ascii="Garamond" w:hAnsi="Garamond" w:cs="Garamond"/>
                <w:sz w:val="22"/>
                <w:szCs w:val="22"/>
              </w:rPr>
              <w:t>ignificance for nursing education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not</w:t>
            </w:r>
            <w:r w:rsidRPr="00564D3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>addressed</w:t>
            </w:r>
          </w:p>
        </w:tc>
      </w:tr>
      <w:tr w:rsidR="008C6DC1" w:rsidRPr="00CF0DDF" w:rsidTr="00C14FF3">
        <w:trPr>
          <w:trHeight w:val="377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C1" w:rsidRPr="00084772" w:rsidRDefault="0036190E" w:rsidP="00BB2C7D">
            <w:pPr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A5. </w:t>
            </w:r>
            <w:r w:rsidR="008C6DC1" w:rsidRPr="00084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Theoretical</w:t>
            </w:r>
            <w:r w:rsidR="00BB2C7D" w:rsidRPr="00084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8C6DC1" w:rsidRPr="00084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conceptual</w:t>
            </w:r>
            <w:r w:rsidR="00BB2C7D" w:rsidRPr="00084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, or philosophical</w:t>
            </w:r>
            <w:r w:rsidR="008C6DC1" w:rsidRPr="00084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basis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DC1" w:rsidRPr="00084772" w:rsidRDefault="008C6DC1" w:rsidP="00BB2C7D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Theoretical</w:t>
            </w:r>
            <w:r w:rsidR="00BB2C7D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,</w:t>
            </w:r>
          </w:p>
          <w:p w:rsidR="008C6DC1" w:rsidRPr="00084772" w:rsidRDefault="00BB2C7D" w:rsidP="00BB2C7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c</w:t>
            </w:r>
            <w:r w:rsidR="008C6DC1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onceptual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,</w:t>
            </w: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philosophical </w:t>
            </w:r>
            <w:r w:rsidR="008C6DC1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basis for study is very clear and relevant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D" w:rsidRPr="00084772" w:rsidRDefault="00BB2C7D" w:rsidP="00BB2C7D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Theoretical,</w:t>
            </w:r>
          </w:p>
          <w:p w:rsidR="008C6DC1" w:rsidRPr="00084772" w:rsidRDefault="00BB2C7D" w:rsidP="00BB2C7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conceptual</w:t>
            </w: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or philosophical </w:t>
            </w:r>
            <w:r w:rsidR="008C6DC1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basis for study is clear and relevant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D" w:rsidRPr="00084772" w:rsidRDefault="008C6DC1" w:rsidP="00BB2C7D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Limited clarity and relevance for </w:t>
            </w:r>
            <w:r w:rsidR="00BB2C7D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theoretical,</w:t>
            </w:r>
          </w:p>
          <w:p w:rsidR="008C6DC1" w:rsidRPr="00084772" w:rsidRDefault="00BB2C7D" w:rsidP="00BB2C7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conceptual</w:t>
            </w: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or philosophical </w:t>
            </w:r>
          </w:p>
          <w:p w:rsidR="008C6DC1" w:rsidRPr="00084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basis of study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7D" w:rsidRPr="00084772" w:rsidRDefault="008C6DC1" w:rsidP="00BB2C7D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No clarity or relevance for </w:t>
            </w:r>
            <w:r w:rsidR="00BB2C7D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theoretical,</w:t>
            </w:r>
          </w:p>
          <w:p w:rsidR="008C6DC1" w:rsidRDefault="00BB2C7D" w:rsidP="00BB2C7D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conceptual</w:t>
            </w: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or philosophical </w:t>
            </w:r>
            <w:r w:rsidR="008C6DC1"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basis of study.</w:t>
            </w:r>
          </w:p>
          <w:p w:rsidR="00084772" w:rsidRPr="00084772" w:rsidRDefault="00084772" w:rsidP="00BB2C7D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17" w:rsidRPr="00084772" w:rsidRDefault="00251D17" w:rsidP="00251D17">
            <w:pPr>
              <w:rPr>
                <w:rFonts w:ascii="Garamond" w:hAnsi="Garamond" w:cs="Garamond"/>
                <w:color w:val="000000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Theoretical,</w:t>
            </w:r>
          </w:p>
          <w:p w:rsidR="008C6DC1" w:rsidRPr="00081A2B" w:rsidRDefault="00251D17" w:rsidP="00251D17">
            <w:pPr>
              <w:rPr>
                <w:rFonts w:ascii="Garamond" w:hAnsi="Garamond" w:cs="Garamond"/>
                <w:color w:val="000000"/>
                <w:highlight w:val="yellow"/>
              </w:rPr>
            </w:pPr>
            <w:r w:rsidRPr="00084772">
              <w:rPr>
                <w:rFonts w:ascii="Garamond" w:hAnsi="Garamond" w:cs="Garamond"/>
                <w:color w:val="000000"/>
                <w:sz w:val="22"/>
                <w:szCs w:val="22"/>
              </w:rPr>
              <w:t>conceptual, or philosophical not addressed</w:t>
            </w:r>
          </w:p>
        </w:tc>
      </w:tr>
      <w:tr w:rsidR="008C6DC1" w:rsidRPr="00AE57F6" w:rsidTr="00C14FF3">
        <w:trPr>
          <w:trHeight w:val="432"/>
          <w:jc w:val="center"/>
        </w:trPr>
        <w:tc>
          <w:tcPr>
            <w:tcW w:w="10924" w:type="dxa"/>
            <w:gridSpan w:val="6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8C6DC1" w:rsidRPr="002D4625" w:rsidRDefault="008C6DC1" w:rsidP="00564D3E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Garamond"/>
                <w:b/>
                <w:bCs/>
                <w:iCs/>
                <w:color w:val="000000"/>
              </w:rPr>
            </w:pPr>
            <w:r w:rsidRPr="002D4625">
              <w:rPr>
                <w:rFonts w:ascii="Garamond" w:hAnsi="Garamond" w:cs="Garamond"/>
                <w:b/>
                <w:bCs/>
                <w:color w:val="000000"/>
              </w:rPr>
              <w:lastRenderedPageBreak/>
              <w:t>Methodological Soundness (50%)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</w:tcPr>
          <w:p w:rsidR="008C6DC1" w:rsidRPr="00564D3E" w:rsidRDefault="008C6DC1" w:rsidP="00564D3E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564D3E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B1.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Research Design</w:t>
            </w:r>
          </w:p>
        </w:tc>
        <w:tc>
          <w:tcPr>
            <w:tcW w:w="1820" w:type="dxa"/>
            <w:noWrap/>
          </w:tcPr>
          <w:p w:rsidR="008C6DC1" w:rsidRPr="00564D3E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Design</w:t>
            </w:r>
            <w:r w:rsidR="00C938B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</w:t>
            </w: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methodology is most appropriate for research question/s</w:t>
            </w:r>
          </w:p>
        </w:tc>
        <w:tc>
          <w:tcPr>
            <w:tcW w:w="1821" w:type="dxa"/>
          </w:tcPr>
          <w:p w:rsidR="008C6DC1" w:rsidRPr="00564D3E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Design</w:t>
            </w:r>
            <w:r w:rsidR="00C938B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</w:t>
            </w: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methodology is   appropriate for research question/s</w:t>
            </w:r>
          </w:p>
        </w:tc>
        <w:tc>
          <w:tcPr>
            <w:tcW w:w="1821" w:type="dxa"/>
          </w:tcPr>
          <w:p w:rsidR="008C6DC1" w:rsidRPr="00564D3E" w:rsidRDefault="008C6DC1" w:rsidP="00A4039D">
            <w:pPr>
              <w:rPr>
                <w:rFonts w:ascii="Garamond" w:hAnsi="Garamond" w:cs="Garamond"/>
                <w:color w:val="000000"/>
              </w:rPr>
            </w:pP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Design</w:t>
            </w:r>
            <w:r w:rsidR="00C938B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</w:t>
            </w: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methodology needs to be revised to be appropriate for research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>question/s</w:t>
            </w:r>
          </w:p>
        </w:tc>
        <w:tc>
          <w:tcPr>
            <w:tcW w:w="1821" w:type="dxa"/>
          </w:tcPr>
          <w:p w:rsidR="008C6DC1" w:rsidRPr="00564D3E" w:rsidRDefault="008C6DC1" w:rsidP="00C938B8">
            <w:pPr>
              <w:rPr>
                <w:rFonts w:ascii="Garamond" w:hAnsi="Garamond" w:cs="Garamond"/>
                <w:color w:val="000000"/>
              </w:rPr>
            </w:pP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Design</w:t>
            </w:r>
            <w:r w:rsidR="00C938B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</w:t>
            </w:r>
            <w:r w:rsidRPr="00564D3E">
              <w:rPr>
                <w:rFonts w:ascii="Garamond" w:hAnsi="Garamond" w:cs="Garamond"/>
                <w:color w:val="000000"/>
                <w:sz w:val="22"/>
                <w:szCs w:val="22"/>
              </w:rPr>
              <w:t>methodology is not appropriate for research question/s</w:t>
            </w:r>
          </w:p>
        </w:tc>
        <w:tc>
          <w:tcPr>
            <w:tcW w:w="1821" w:type="dxa"/>
          </w:tcPr>
          <w:p w:rsidR="008C6DC1" w:rsidRPr="00564D3E" w:rsidRDefault="008C6DC1" w:rsidP="008C6DC1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Research design not </w:t>
            </w:r>
            <w:r w:rsidR="00046CB5">
              <w:rPr>
                <w:rFonts w:ascii="Garamond" w:hAnsi="Garamond" w:cs="Garamond"/>
                <w:color w:val="000000"/>
                <w:sz w:val="22"/>
                <w:szCs w:val="22"/>
              </w:rPr>
              <w:t>identified</w:t>
            </w:r>
          </w:p>
        </w:tc>
      </w:tr>
      <w:tr w:rsidR="008C6DC1" w:rsidRPr="00AE57F6" w:rsidTr="00A4039D">
        <w:trPr>
          <w:trHeight w:val="1808"/>
          <w:jc w:val="center"/>
        </w:trPr>
        <w:tc>
          <w:tcPr>
            <w:tcW w:w="1820" w:type="dxa"/>
          </w:tcPr>
          <w:p w:rsidR="008C6DC1" w:rsidRPr="002D4625" w:rsidRDefault="008C6DC1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2D4625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B2. Sampling approach: selection, size, recruitment and retention </w:t>
            </w:r>
          </w:p>
          <w:p w:rsidR="008C6DC1" w:rsidRPr="002D4625" w:rsidRDefault="008C6DC1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  <w:p w:rsidR="008C6DC1" w:rsidRPr="002D4625" w:rsidRDefault="008C6DC1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820" w:type="dxa"/>
            <w:noWrap/>
          </w:tcPr>
          <w:p w:rsidR="008C6DC1" w:rsidRPr="002D4625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Sample very appropriate in size and selection. Plans to recruit</w:t>
            </w:r>
            <w:r w:rsidR="004C1A9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and </w:t>
            </w: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retain subjects are very clear and feasible.</w:t>
            </w:r>
          </w:p>
          <w:p w:rsidR="008C6DC1" w:rsidRPr="002D4625" w:rsidRDefault="008C6DC1" w:rsidP="008C6DC1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8C6DC1" w:rsidRPr="002D4625" w:rsidRDefault="008C6DC1" w:rsidP="00A4039D">
            <w:pPr>
              <w:rPr>
                <w:rFonts w:ascii="Garamond" w:hAnsi="Garamond" w:cs="Garamond"/>
                <w:color w:val="000000"/>
              </w:rPr>
            </w:pP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Sample mostly appropriate in size and selection. Plans to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recruit and </w:t>
            </w: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retain subjects are mostly clear and feasible.</w:t>
            </w:r>
          </w:p>
        </w:tc>
        <w:tc>
          <w:tcPr>
            <w:tcW w:w="1821" w:type="dxa"/>
          </w:tcPr>
          <w:p w:rsidR="008C6DC1" w:rsidRPr="002D4625" w:rsidRDefault="008C6DC1" w:rsidP="00A4039D">
            <w:pPr>
              <w:rPr>
                <w:rFonts w:ascii="Garamond" w:hAnsi="Garamond" w:cs="Garamond"/>
                <w:color w:val="000000"/>
              </w:rPr>
            </w:pP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Sample size and selection fairly well considered. Plans to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recruit and </w:t>
            </w: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retain subjects are fairly clear and/or feasible.</w:t>
            </w:r>
          </w:p>
        </w:tc>
        <w:tc>
          <w:tcPr>
            <w:tcW w:w="1821" w:type="dxa"/>
          </w:tcPr>
          <w:p w:rsidR="008C6DC1" w:rsidRPr="002D4625" w:rsidRDefault="008C6DC1" w:rsidP="00A4039D">
            <w:pPr>
              <w:rPr>
                <w:rFonts w:ascii="Garamond" w:hAnsi="Garamond" w:cs="Garamond"/>
                <w:color w:val="000000"/>
              </w:rPr>
            </w:pP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Sample size and selection not well considered. Plans to recruit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and </w:t>
            </w: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retain subjects are not clear or feasible.</w:t>
            </w:r>
          </w:p>
        </w:tc>
        <w:tc>
          <w:tcPr>
            <w:tcW w:w="1821" w:type="dxa"/>
          </w:tcPr>
          <w:p w:rsidR="008C6DC1" w:rsidRPr="002D4625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2D4625">
              <w:rPr>
                <w:rFonts w:ascii="Garamond" w:hAnsi="Garamond" w:cs="Garamond"/>
                <w:color w:val="000000"/>
                <w:sz w:val="22"/>
                <w:szCs w:val="22"/>
              </w:rPr>
              <w:t>Sampling approach not addressed</w:t>
            </w:r>
          </w:p>
        </w:tc>
      </w:tr>
      <w:tr w:rsidR="008C6DC1" w:rsidRPr="00AE57F6" w:rsidTr="00A4039D">
        <w:trPr>
          <w:trHeight w:val="1493"/>
          <w:jc w:val="center"/>
        </w:trPr>
        <w:tc>
          <w:tcPr>
            <w:tcW w:w="1820" w:type="dxa"/>
          </w:tcPr>
          <w:p w:rsidR="008C6DC1" w:rsidRPr="00A52772" w:rsidRDefault="008C6DC1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52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B3. </w:t>
            </w:r>
            <w:hyperlink r:id="rId8" w:history="1">
              <w:r w:rsidRPr="00A52772">
                <w:rPr>
                  <w:rStyle w:val="Hyperlink"/>
                  <w:rFonts w:ascii="Garamond" w:hAnsi="Garamond" w:cs="Garamond"/>
                  <w:b/>
                  <w:bCs/>
                  <w:sz w:val="22"/>
                  <w:szCs w:val="22"/>
                </w:rPr>
                <w:t>Diversity</w:t>
              </w:r>
            </w:hyperlink>
            <w:r w:rsidRPr="00A52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of sample</w:t>
            </w:r>
          </w:p>
          <w:p w:rsidR="008C6DC1" w:rsidRPr="00A52772" w:rsidRDefault="008C6DC1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820" w:type="dxa"/>
            <w:noWrap/>
          </w:tcPr>
          <w:p w:rsidR="008C6DC1" w:rsidRPr="00A52772" w:rsidRDefault="008C6DC1" w:rsidP="00083C0B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Plans to recruit a diverse sample are very clear and feasible or lack thereof clearly justified</w:t>
            </w:r>
          </w:p>
        </w:tc>
        <w:tc>
          <w:tcPr>
            <w:tcW w:w="1821" w:type="dxa"/>
          </w:tcPr>
          <w:p w:rsidR="008C6DC1" w:rsidRPr="00A52772" w:rsidRDefault="008C6DC1" w:rsidP="00873014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Plans to recruit a diverse sample are mostly clear and feasible or lack thereof mostly justified</w:t>
            </w:r>
          </w:p>
        </w:tc>
        <w:tc>
          <w:tcPr>
            <w:tcW w:w="1821" w:type="dxa"/>
          </w:tcPr>
          <w:p w:rsidR="008C6DC1" w:rsidRDefault="008C6DC1" w:rsidP="00873014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Plans to recruit a diverse sample are fairly clear and feasible or lack thereof fairly justified</w:t>
            </w:r>
          </w:p>
          <w:p w:rsidR="00084772" w:rsidRPr="00A52772" w:rsidRDefault="00084772" w:rsidP="00873014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8C6DC1" w:rsidRPr="00A52772" w:rsidRDefault="008C6DC1" w:rsidP="002B0B70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Plans to recruit a diverse sample lack clarity, feasibility, or justification</w:t>
            </w:r>
          </w:p>
        </w:tc>
        <w:tc>
          <w:tcPr>
            <w:tcW w:w="1821" w:type="dxa"/>
          </w:tcPr>
          <w:p w:rsidR="008C6DC1" w:rsidRPr="00A52772" w:rsidRDefault="008C6DC1" w:rsidP="005831A7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Diversity of sample not addressed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</w:tcPr>
          <w:p w:rsidR="00962628" w:rsidRDefault="008C6DC1" w:rsidP="009679B0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52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B4. Data collection </w:t>
            </w:r>
            <w:r w:rsidR="00962628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protocol </w:t>
            </w:r>
          </w:p>
          <w:p w:rsidR="008C6DC1" w:rsidRPr="00A52772" w:rsidRDefault="00962628" w:rsidP="009679B0">
            <w:pPr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(</w:t>
            </w:r>
            <w:r w:rsidRPr="00084772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plan to maintain consistency among multiple study sites, if appropriate)</w:t>
            </w:r>
          </w:p>
        </w:tc>
        <w:tc>
          <w:tcPr>
            <w:tcW w:w="1820" w:type="dxa"/>
            <w:noWrap/>
          </w:tcPr>
          <w:p w:rsidR="008C6DC1" w:rsidRPr="00A52772" w:rsidRDefault="008C6DC1" w:rsidP="00083C0B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collection 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>protocol is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clear, feasible and methodologically rigorous</w:t>
            </w:r>
          </w:p>
        </w:tc>
        <w:tc>
          <w:tcPr>
            <w:tcW w:w="1821" w:type="dxa"/>
          </w:tcPr>
          <w:p w:rsidR="008C6DC1" w:rsidRPr="00A52772" w:rsidRDefault="008C6DC1" w:rsidP="00C1261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collection 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>protocol is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mostly clear, feasible and rigorous</w:t>
            </w:r>
          </w:p>
        </w:tc>
        <w:tc>
          <w:tcPr>
            <w:tcW w:w="1821" w:type="dxa"/>
          </w:tcPr>
          <w:p w:rsidR="008C6DC1" w:rsidRPr="00A52772" w:rsidRDefault="008C6DC1" w:rsidP="00962628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collection 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protocol is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fairly clear, feasible and rigorous</w:t>
            </w:r>
          </w:p>
        </w:tc>
        <w:tc>
          <w:tcPr>
            <w:tcW w:w="1821" w:type="dxa"/>
          </w:tcPr>
          <w:p w:rsidR="008C6DC1" w:rsidRPr="00A52772" w:rsidRDefault="008C6DC1" w:rsidP="00C1261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collection 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>protocol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lack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>s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clarity, feasibility or rigor</w:t>
            </w:r>
          </w:p>
        </w:tc>
        <w:tc>
          <w:tcPr>
            <w:tcW w:w="1821" w:type="dxa"/>
          </w:tcPr>
          <w:p w:rsidR="008C6DC1" w:rsidRPr="00A52772" w:rsidRDefault="008C6DC1" w:rsidP="005831A7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collection </w:t>
            </w:r>
            <w:r w:rsidR="00962628">
              <w:rPr>
                <w:rFonts w:ascii="Garamond" w:hAnsi="Garamond" w:cs="Garamond"/>
                <w:color w:val="000000"/>
                <w:sz w:val="22"/>
                <w:szCs w:val="22"/>
              </w:rPr>
              <w:t>protocol is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not addressed</w:t>
            </w:r>
          </w:p>
        </w:tc>
      </w:tr>
      <w:tr w:rsidR="008C6DC1" w:rsidRPr="00AE57F6" w:rsidTr="00C14FF3">
        <w:trPr>
          <w:trHeight w:val="864"/>
          <w:jc w:val="center"/>
        </w:trPr>
        <w:tc>
          <w:tcPr>
            <w:tcW w:w="1820" w:type="dxa"/>
          </w:tcPr>
          <w:p w:rsidR="008C6DC1" w:rsidRPr="00A52772" w:rsidRDefault="008C6DC1" w:rsidP="006E074D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52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B5. Instrumentation </w:t>
            </w:r>
            <w:r w:rsidRPr="00183DD3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(quantitative, e.g., reliability and validity; qualitative</w:t>
            </w:r>
            <w:r w:rsidR="006E074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 trustworthiness)</w:t>
            </w:r>
          </w:p>
        </w:tc>
        <w:tc>
          <w:tcPr>
            <w:tcW w:w="1820" w:type="dxa"/>
            <w:noWrap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Approaches to enhance credibility and trustworthiness and/or use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of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instruments with acceptable reliability and validity are very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clearly described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Approaches to enhance credibility and trustworthiness and/or use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of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instruments with acceptable reliability and validity are mostly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clear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Approaches to enhance credibility and trustworthiness and/or use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of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instruments with acceptable reliability and validity are fairly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clear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Approaches to enhance credibility and trustworthiness and/or use </w:t>
            </w:r>
            <w:r w:rsidR="00A4039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of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instruments with acceptable reliability and validity are poorly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described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Instrumentation not addressed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</w:tcPr>
          <w:p w:rsidR="008C6DC1" w:rsidRPr="00A52772" w:rsidRDefault="008C6DC1" w:rsidP="00C07DDB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52772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lastRenderedPageBreak/>
              <w:t xml:space="preserve">B6.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Data analysis</w:t>
            </w:r>
            <w:r w:rsidR="00BA6D63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procedures</w:t>
            </w:r>
          </w:p>
        </w:tc>
        <w:tc>
          <w:tcPr>
            <w:tcW w:w="1820" w:type="dxa"/>
            <w:noWrap/>
          </w:tcPr>
          <w:p w:rsidR="008C6DC1" w:rsidRPr="00A52772" w:rsidRDefault="008C6DC1" w:rsidP="007D57AC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Analyses very appropriate to method, research question(s), and demonstrate high level of rigor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Analyses mostly appropriate to method, research question(s), and demonstrate moderate rigor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Analyses fairly appropriate to method, research question(s), but demonstrate limited rigor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Analyses not appropriate to method and/or research question(s), demonstrating very limited rigor</w:t>
            </w:r>
          </w:p>
        </w:tc>
        <w:tc>
          <w:tcPr>
            <w:tcW w:w="1821" w:type="dxa"/>
          </w:tcPr>
          <w:p w:rsidR="008C6DC1" w:rsidRPr="00A52772" w:rsidRDefault="008C6DC1" w:rsidP="008C6DC1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Data analysis </w:t>
            </w:r>
            <w:r w:rsidR="00BA6D63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procedures 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not addressed</w:t>
            </w:r>
          </w:p>
        </w:tc>
      </w:tr>
      <w:tr w:rsidR="008C6DC1" w:rsidRPr="00AE57F6" w:rsidTr="00C14FF3">
        <w:trPr>
          <w:trHeight w:val="945"/>
          <w:jc w:val="center"/>
        </w:trPr>
        <w:tc>
          <w:tcPr>
            <w:tcW w:w="1820" w:type="dxa"/>
          </w:tcPr>
          <w:p w:rsidR="008C6DC1" w:rsidRPr="00C07DDB" w:rsidRDefault="008C6DC1" w:rsidP="00BA6D63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C07DDB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B7.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P</w:t>
            </w:r>
            <w:r w:rsidRPr="00C07DDB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rotection of human subjects </w:t>
            </w:r>
          </w:p>
        </w:tc>
        <w:tc>
          <w:tcPr>
            <w:tcW w:w="1820" w:type="dxa"/>
            <w:noWrap/>
          </w:tcPr>
          <w:p w:rsidR="008C6DC1" w:rsidRPr="00C07DDB" w:rsidRDefault="008C6DC1" w:rsidP="0013047E">
            <w:pPr>
              <w:rPr>
                <w:rFonts w:ascii="Garamond" w:hAnsi="Garamond" w:cs="Garamond"/>
                <w:color w:val="000000"/>
              </w:rPr>
            </w:pPr>
            <w:r w:rsidRPr="00C07DDB">
              <w:rPr>
                <w:rFonts w:ascii="Garamond" w:hAnsi="Garamond" w:cs="Garamond"/>
                <w:color w:val="000000"/>
                <w:sz w:val="22"/>
                <w:szCs w:val="22"/>
              </w:rPr>
              <w:t>Procedures to protect human subjects and seek IRB approval very well described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or lack thereof clearly justified</w:t>
            </w:r>
          </w:p>
        </w:tc>
        <w:tc>
          <w:tcPr>
            <w:tcW w:w="1821" w:type="dxa"/>
          </w:tcPr>
          <w:p w:rsidR="008C6DC1" w:rsidRPr="00C07DDB" w:rsidRDefault="008C6DC1" w:rsidP="0013047E">
            <w:pPr>
              <w:rPr>
                <w:rFonts w:ascii="Garamond" w:hAnsi="Garamond" w:cs="Garamond"/>
                <w:color w:val="000000"/>
              </w:rPr>
            </w:pPr>
            <w:r w:rsidRPr="00C07DDB">
              <w:rPr>
                <w:rFonts w:ascii="Garamond" w:hAnsi="Garamond" w:cs="Garamond"/>
                <w:color w:val="000000"/>
                <w:sz w:val="22"/>
                <w:szCs w:val="22"/>
              </w:rPr>
              <w:t>Procedures to protect human subjects and seek IRB approval mostly well described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>or lack thereof mostly justified</w:t>
            </w:r>
          </w:p>
        </w:tc>
        <w:tc>
          <w:tcPr>
            <w:tcW w:w="1821" w:type="dxa"/>
          </w:tcPr>
          <w:p w:rsidR="008C6DC1" w:rsidRPr="00C07DDB" w:rsidRDefault="008C6DC1" w:rsidP="0013047E">
            <w:pPr>
              <w:rPr>
                <w:rFonts w:ascii="Garamond" w:hAnsi="Garamond" w:cs="Garamond"/>
                <w:color w:val="000000"/>
              </w:rPr>
            </w:pPr>
            <w:r w:rsidRPr="00C07DDB">
              <w:rPr>
                <w:rFonts w:ascii="Garamond" w:hAnsi="Garamond" w:cs="Garamond"/>
                <w:color w:val="000000"/>
                <w:sz w:val="22"/>
                <w:szCs w:val="22"/>
              </w:rPr>
              <w:t>Procedures to protect human subjects and seek IRB approval fairly well described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lack thereof </w:t>
            </w:r>
            <w:r w:rsidR="00BA6D63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somewhat </w:t>
            </w:r>
            <w:r w:rsidRPr="00A52772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justified</w:t>
            </w:r>
          </w:p>
        </w:tc>
        <w:tc>
          <w:tcPr>
            <w:tcW w:w="1821" w:type="dxa"/>
          </w:tcPr>
          <w:p w:rsidR="008C6DC1" w:rsidRPr="00C07DDB" w:rsidRDefault="008C6DC1" w:rsidP="0013047E">
            <w:pPr>
              <w:rPr>
                <w:rFonts w:ascii="Garamond" w:hAnsi="Garamond" w:cs="Garamond"/>
                <w:color w:val="000000"/>
              </w:rPr>
            </w:pPr>
            <w:r w:rsidRPr="00C07DDB">
              <w:rPr>
                <w:rFonts w:ascii="Garamond" w:hAnsi="Garamond" w:cs="Garamond"/>
                <w:color w:val="000000"/>
                <w:sz w:val="22"/>
                <w:szCs w:val="22"/>
              </w:rPr>
              <w:t>Procedures to protect human subjects and seek IRB approval poorly described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or lack thereof poorly justified</w:t>
            </w:r>
          </w:p>
        </w:tc>
        <w:tc>
          <w:tcPr>
            <w:tcW w:w="1821" w:type="dxa"/>
          </w:tcPr>
          <w:p w:rsidR="008C6DC1" w:rsidRPr="0013047E" w:rsidRDefault="008C6DC1" w:rsidP="0013047E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Protection of human subjects and IRB approval plan not addressed</w:t>
            </w:r>
          </w:p>
        </w:tc>
      </w:tr>
      <w:tr w:rsidR="00081A2B" w:rsidRPr="00AE57F6" w:rsidTr="00C14FF3">
        <w:trPr>
          <w:trHeight w:val="440"/>
          <w:jc w:val="center"/>
        </w:trPr>
        <w:tc>
          <w:tcPr>
            <w:tcW w:w="10924" w:type="dxa"/>
            <w:gridSpan w:val="6"/>
            <w:shd w:val="clear" w:color="auto" w:fill="DDD9C3" w:themeFill="background2" w:themeFillShade="E6"/>
          </w:tcPr>
          <w:p w:rsidR="00081A2B" w:rsidRPr="0013047E" w:rsidRDefault="00081A2B" w:rsidP="0013047E">
            <w:pPr>
              <w:pStyle w:val="ListParagraph"/>
              <w:numPr>
                <w:ilvl w:val="0"/>
                <w:numId w:val="4"/>
              </w:num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Presentation</w:t>
            </w:r>
            <w:r w:rsidRPr="0013047E">
              <w:rPr>
                <w:rFonts w:ascii="Garamond" w:hAnsi="Garamond" w:cs="Garamond"/>
                <w:b/>
                <w:bCs/>
                <w:color w:val="000000"/>
              </w:rPr>
              <w:t xml:space="preserve"> (20%)</w:t>
            </w:r>
          </w:p>
        </w:tc>
      </w:tr>
      <w:tr w:rsidR="00081A2B" w:rsidRPr="00AE57F6" w:rsidTr="00C14FF3">
        <w:trPr>
          <w:trHeight w:val="945"/>
          <w:jc w:val="center"/>
        </w:trPr>
        <w:tc>
          <w:tcPr>
            <w:tcW w:w="1820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13047E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C1. Plans for dissemination</w:t>
            </w:r>
          </w:p>
        </w:tc>
        <w:tc>
          <w:tcPr>
            <w:tcW w:w="1820" w:type="dxa"/>
            <w:noWrap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Very appropriate and well described</w:t>
            </w:r>
          </w:p>
          <w:p w:rsidR="00081A2B" w:rsidRPr="0013047E" w:rsidRDefault="00081A2B" w:rsidP="0013047E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Mostly appropriate and described</w:t>
            </w: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Fair appropriateness and description</w:t>
            </w: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Poor appropriateness and description</w:t>
            </w:r>
          </w:p>
          <w:p w:rsidR="00081A2B" w:rsidRPr="0013047E" w:rsidRDefault="00081A2B" w:rsidP="0013047E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081A2B" w:rsidRPr="0013047E" w:rsidRDefault="00081A2B" w:rsidP="008C070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P</w:t>
            </w: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lans for dissemination 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not addressed</w:t>
            </w:r>
          </w:p>
        </w:tc>
      </w:tr>
      <w:tr w:rsidR="00081A2B" w:rsidRPr="00AE57F6" w:rsidTr="00C14FF3">
        <w:trPr>
          <w:trHeight w:val="630"/>
          <w:jc w:val="center"/>
        </w:trPr>
        <w:tc>
          <w:tcPr>
            <w:tcW w:w="1820" w:type="dxa"/>
          </w:tcPr>
          <w:p w:rsidR="00081A2B" w:rsidRDefault="00081A2B" w:rsidP="0013047E">
            <w:pP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0013047E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C2.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T</w:t>
            </w:r>
            <w:r w:rsidRPr="0013047E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imetable and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feasibility</w:t>
            </w:r>
            <w:r w:rsidRPr="0013047E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of completing the study in no more than two years</w:t>
            </w:r>
          </w:p>
          <w:p w:rsidR="00183DD3" w:rsidRPr="0013047E" w:rsidRDefault="00183DD3" w:rsidP="0013047E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820" w:type="dxa"/>
            <w:noWrap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Very feasible and clear timetable </w:t>
            </w: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Mostly feasible and clear timetable</w:t>
            </w: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Fair feasibility and clarity in timetable</w:t>
            </w:r>
          </w:p>
        </w:tc>
        <w:tc>
          <w:tcPr>
            <w:tcW w:w="1821" w:type="dxa"/>
          </w:tcPr>
          <w:p w:rsidR="00081A2B" w:rsidRPr="0013047E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13047E">
              <w:rPr>
                <w:rFonts w:ascii="Garamond" w:hAnsi="Garamond" w:cs="Garamond"/>
                <w:color w:val="000000"/>
                <w:sz w:val="22"/>
                <w:szCs w:val="22"/>
              </w:rPr>
              <w:t>Poor feasibility and clarity in timetable</w:t>
            </w:r>
          </w:p>
        </w:tc>
        <w:tc>
          <w:tcPr>
            <w:tcW w:w="1821" w:type="dxa"/>
          </w:tcPr>
          <w:p w:rsidR="00081A2B" w:rsidRPr="0013047E" w:rsidRDefault="00081A2B" w:rsidP="008C070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Lacks timetable</w:t>
            </w:r>
          </w:p>
        </w:tc>
      </w:tr>
      <w:tr w:rsidR="00081A2B" w:rsidRPr="00AE57F6" w:rsidTr="00C14FF3">
        <w:trPr>
          <w:trHeight w:val="630"/>
          <w:jc w:val="center"/>
        </w:trPr>
        <w:tc>
          <w:tcPr>
            <w:tcW w:w="1820" w:type="dxa"/>
          </w:tcPr>
          <w:p w:rsidR="00081A2B" w:rsidRPr="008C070D" w:rsidRDefault="00081A2B" w:rsidP="00E66230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8C070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C3. Budget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116C1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(not counted </w:t>
            </w:r>
            <w:r w:rsidR="000777BE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in </w:t>
            </w:r>
            <w:r w:rsidR="000E4EDA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proposal</w:t>
            </w:r>
            <w:r w:rsidRPr="00F116C1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 </w:t>
            </w:r>
            <w:r w:rsidR="00E66230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page </w:t>
            </w:r>
            <w:r w:rsidRPr="00F116C1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limit)</w:t>
            </w:r>
            <w:r w:rsidR="00E66230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 – </w:t>
            </w:r>
            <w:r w:rsidR="00E66230" w:rsidRPr="00E66230">
              <w:rPr>
                <w:rFonts w:ascii="Garamond" w:hAnsi="Garamond" w:cs="Garamond"/>
                <w:bCs/>
                <w:color w:val="FF0000"/>
                <w:sz w:val="22"/>
                <w:szCs w:val="22"/>
              </w:rPr>
              <w:t>N/R for Dissertation/ DNP Research Award</w:t>
            </w:r>
            <w:r w:rsidR="000777BE">
              <w:rPr>
                <w:rFonts w:ascii="Garamond" w:hAnsi="Garamond" w:cs="Garamond"/>
                <w:bCs/>
                <w:color w:val="FF0000"/>
                <w:sz w:val="22"/>
                <w:szCs w:val="22"/>
              </w:rPr>
              <w:t xml:space="preserve"> Proposals</w:t>
            </w:r>
            <w:bookmarkStart w:id="0" w:name="_GoBack"/>
            <w:bookmarkEnd w:id="0"/>
          </w:p>
        </w:tc>
        <w:tc>
          <w:tcPr>
            <w:tcW w:w="1820" w:type="dxa"/>
            <w:noWrap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Budget very clear and expenses well justified</w:t>
            </w:r>
          </w:p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Budget mostly clear and  justified</w:t>
            </w:r>
          </w:p>
        </w:tc>
        <w:tc>
          <w:tcPr>
            <w:tcW w:w="1821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Budget fairly clear and justified</w:t>
            </w:r>
          </w:p>
        </w:tc>
        <w:tc>
          <w:tcPr>
            <w:tcW w:w="1821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Poor budget clarity and justification </w:t>
            </w:r>
          </w:p>
        </w:tc>
        <w:tc>
          <w:tcPr>
            <w:tcW w:w="1821" w:type="dxa"/>
          </w:tcPr>
          <w:p w:rsidR="00081A2B" w:rsidRPr="008C070D" w:rsidRDefault="00081A2B" w:rsidP="008C070D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Lacks budget</w:t>
            </w:r>
          </w:p>
        </w:tc>
      </w:tr>
      <w:tr w:rsidR="00081A2B" w:rsidRPr="00AE57F6" w:rsidTr="00C14FF3">
        <w:trPr>
          <w:trHeight w:val="630"/>
          <w:jc w:val="center"/>
        </w:trPr>
        <w:tc>
          <w:tcPr>
            <w:tcW w:w="1820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8C070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 xml:space="preserve">C4. </w:t>
            </w:r>
            <w: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Cohesiveness and</w:t>
            </w:r>
          </w:p>
          <w:p w:rsidR="00081A2B" w:rsidRPr="008C070D" w:rsidRDefault="00081A2B" w:rsidP="008C070D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8C070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lastRenderedPageBreak/>
              <w:t xml:space="preserve">coherency </w:t>
            </w:r>
          </w:p>
        </w:tc>
        <w:tc>
          <w:tcPr>
            <w:tcW w:w="1820" w:type="dxa"/>
            <w:noWrap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>Very cohesive</w:t>
            </w:r>
            <w:r w:rsidR="00D36CDF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and</w:t>
            </w: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coherent </w:t>
            </w:r>
          </w:p>
        </w:tc>
        <w:tc>
          <w:tcPr>
            <w:tcW w:w="1821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Mostly cohesive and coherent </w:t>
            </w:r>
          </w:p>
        </w:tc>
        <w:tc>
          <w:tcPr>
            <w:tcW w:w="1821" w:type="dxa"/>
          </w:tcPr>
          <w:p w:rsidR="00081A2B" w:rsidRPr="008C070D" w:rsidRDefault="00D36CDF" w:rsidP="008C6DC1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Somewhat cohesive</w:t>
            </w:r>
            <w:r w:rsidR="00081A2B"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and c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oherent</w:t>
            </w:r>
          </w:p>
        </w:tc>
        <w:tc>
          <w:tcPr>
            <w:tcW w:w="1821" w:type="dxa"/>
          </w:tcPr>
          <w:p w:rsidR="00081A2B" w:rsidRPr="008C070D" w:rsidRDefault="00081A2B" w:rsidP="00D36CDF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Poor</w:t>
            </w:r>
            <w:r w:rsidR="00D36CDF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cohesiveness and coherency</w:t>
            </w:r>
          </w:p>
        </w:tc>
        <w:tc>
          <w:tcPr>
            <w:tcW w:w="1821" w:type="dxa"/>
          </w:tcPr>
          <w:p w:rsidR="00081A2B" w:rsidRDefault="00081A2B" w:rsidP="008C6D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Lacks cohesiveness and coherency</w:t>
            </w:r>
          </w:p>
          <w:p w:rsidR="00183DD3" w:rsidRPr="008C070D" w:rsidRDefault="00183DD3" w:rsidP="008C6DC1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081A2B" w:rsidRPr="00AE57F6" w:rsidTr="00C14FF3">
        <w:trPr>
          <w:trHeight w:val="945"/>
          <w:jc w:val="center"/>
        </w:trPr>
        <w:tc>
          <w:tcPr>
            <w:tcW w:w="1820" w:type="dxa"/>
          </w:tcPr>
          <w:p w:rsidR="00081A2B" w:rsidRPr="008C070D" w:rsidRDefault="00081A2B" w:rsidP="008C070D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8C070D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lastRenderedPageBreak/>
              <w:t xml:space="preserve">C5. Clarity of writing </w:t>
            </w:r>
          </w:p>
        </w:tc>
        <w:tc>
          <w:tcPr>
            <w:tcW w:w="1820" w:type="dxa"/>
            <w:noWrap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Very well written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, jargon-free</w:t>
            </w:r>
            <w:r w:rsidR="00D36CDF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no </w:t>
            </w:r>
            <w:r w:rsidR="00D36CDF"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typographical and grammatical errors</w:t>
            </w:r>
          </w:p>
        </w:tc>
        <w:tc>
          <w:tcPr>
            <w:tcW w:w="1821" w:type="dxa"/>
          </w:tcPr>
          <w:p w:rsidR="00081A2B" w:rsidRPr="008C070D" w:rsidRDefault="00081A2B" w:rsidP="008C6DC1">
            <w:pPr>
              <w:rPr>
                <w:rFonts w:ascii="Garamond" w:hAnsi="Garamond" w:cs="Garamond"/>
                <w:color w:val="000000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Mostly well written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, jargon-free</w:t>
            </w:r>
            <w:r w:rsidR="00D36CDF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minimal </w:t>
            </w:r>
            <w:r w:rsidR="00D36CDF"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typographical and grammatical errors</w:t>
            </w:r>
          </w:p>
        </w:tc>
        <w:tc>
          <w:tcPr>
            <w:tcW w:w="1821" w:type="dxa"/>
          </w:tcPr>
          <w:p w:rsidR="00081A2B" w:rsidRDefault="00081A2B" w:rsidP="008C6D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Fairly well written</w:t>
            </w: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, jargon-free</w:t>
            </w:r>
            <w:r w:rsidR="00D36CDF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multiple </w:t>
            </w:r>
            <w:r w:rsidR="00D36CDF"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typographical and grammatical errors</w:t>
            </w:r>
          </w:p>
          <w:p w:rsidR="00183DD3" w:rsidRPr="008C070D" w:rsidRDefault="00183DD3" w:rsidP="008C6DC1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081A2B" w:rsidRPr="008C070D" w:rsidRDefault="00081A2B" w:rsidP="00C50AAA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Poorly written; m</w:t>
            </w:r>
            <w:r w:rsidRPr="008C070D">
              <w:rPr>
                <w:rFonts w:ascii="Garamond" w:hAnsi="Garamond" w:cs="Garamond"/>
                <w:color w:val="000000"/>
                <w:sz w:val="22"/>
                <w:szCs w:val="22"/>
              </w:rPr>
              <w:t>any typographical and grammatical errors</w:t>
            </w:r>
          </w:p>
        </w:tc>
        <w:tc>
          <w:tcPr>
            <w:tcW w:w="1821" w:type="dxa"/>
          </w:tcPr>
          <w:p w:rsidR="00081A2B" w:rsidRPr="008C070D" w:rsidRDefault="00081A2B" w:rsidP="00C50AAA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Lacks clarity of writing </w:t>
            </w:r>
          </w:p>
          <w:p w:rsidR="00081A2B" w:rsidRPr="008C070D" w:rsidRDefault="00081A2B" w:rsidP="00C50AAA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5644F4" w:rsidRPr="00AE57F6" w:rsidTr="00C14FF3">
        <w:trPr>
          <w:trHeight w:val="630"/>
          <w:jc w:val="center"/>
        </w:trPr>
        <w:tc>
          <w:tcPr>
            <w:tcW w:w="1820" w:type="dxa"/>
          </w:tcPr>
          <w:p w:rsidR="005644F4" w:rsidRPr="00AE57F6" w:rsidRDefault="005644F4" w:rsidP="00C069C8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A5787">
              <w:t>A. Advancing the Science of Nursing Education (30% of final score)</w:t>
            </w:r>
          </w:p>
        </w:tc>
        <w:tc>
          <w:tcPr>
            <w:tcW w:w="1820" w:type="dxa"/>
            <w:noWrap/>
          </w:tcPr>
          <w:p w:rsidR="005644F4" w:rsidRPr="00AE57F6" w:rsidRDefault="005644F4" w:rsidP="00921A7B">
            <w:pPr>
              <w:jc w:val="right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5644F4" w:rsidRPr="00AE57F6" w:rsidTr="00C14FF3">
        <w:trPr>
          <w:trHeight w:val="315"/>
          <w:jc w:val="center"/>
        </w:trPr>
        <w:tc>
          <w:tcPr>
            <w:tcW w:w="1820" w:type="dxa"/>
            <w:noWrap/>
          </w:tcPr>
          <w:p w:rsidR="005644F4" w:rsidRPr="00AE57F6" w:rsidRDefault="005644F4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A5787">
              <w:t>B. Methodological Soundness  (50% of final score)</w:t>
            </w:r>
          </w:p>
        </w:tc>
        <w:tc>
          <w:tcPr>
            <w:tcW w:w="1820" w:type="dxa"/>
            <w:noWrap/>
          </w:tcPr>
          <w:p w:rsidR="005644F4" w:rsidRPr="00AE57F6" w:rsidRDefault="005644F4" w:rsidP="00921A7B">
            <w:pPr>
              <w:jc w:val="right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noWrap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5644F4" w:rsidRPr="00AE57F6" w:rsidTr="00C14FF3">
        <w:trPr>
          <w:trHeight w:val="630"/>
          <w:jc w:val="center"/>
        </w:trPr>
        <w:tc>
          <w:tcPr>
            <w:tcW w:w="1820" w:type="dxa"/>
          </w:tcPr>
          <w:p w:rsidR="005644F4" w:rsidRPr="00AE57F6" w:rsidRDefault="005644F4" w:rsidP="00083C0B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A5787">
              <w:t>C. Presentation  (20% of final score)</w:t>
            </w:r>
          </w:p>
        </w:tc>
        <w:tc>
          <w:tcPr>
            <w:tcW w:w="1820" w:type="dxa"/>
            <w:noWrap/>
          </w:tcPr>
          <w:p w:rsidR="005644F4" w:rsidRPr="00AE57F6" w:rsidRDefault="005644F4" w:rsidP="00921A7B">
            <w:pPr>
              <w:jc w:val="right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noWrap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5644F4" w:rsidRPr="00AE57F6" w:rsidTr="00C14FF3">
        <w:trPr>
          <w:trHeight w:val="300"/>
          <w:jc w:val="center"/>
        </w:trPr>
        <w:tc>
          <w:tcPr>
            <w:tcW w:w="1820" w:type="dxa"/>
            <w:noWrap/>
          </w:tcPr>
          <w:p w:rsidR="005644F4" w:rsidRPr="00AE57F6" w:rsidRDefault="005644F4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AA5787">
              <w:t>Final Score</w:t>
            </w:r>
          </w:p>
        </w:tc>
        <w:tc>
          <w:tcPr>
            <w:tcW w:w="1820" w:type="dxa"/>
            <w:noWrap/>
          </w:tcPr>
          <w:p w:rsidR="005644F4" w:rsidRPr="00AE57F6" w:rsidRDefault="005644F4" w:rsidP="00921A7B">
            <w:pPr>
              <w:jc w:val="center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1821" w:type="dxa"/>
            <w:noWrap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  <w:r w:rsidRPr="00AE57F6">
              <w:rPr>
                <w:rFonts w:ascii="Garamond" w:hAnsi="Garamond" w:cs="Garamond"/>
                <w:color w:val="000000"/>
              </w:rPr>
              <w:t> </w:t>
            </w:r>
          </w:p>
        </w:tc>
        <w:tc>
          <w:tcPr>
            <w:tcW w:w="1821" w:type="dxa"/>
          </w:tcPr>
          <w:p w:rsidR="005644F4" w:rsidRPr="00AE57F6" w:rsidRDefault="005644F4" w:rsidP="005831A7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081A2B" w:rsidRPr="00AE57F6" w:rsidTr="00C14FF3">
        <w:trPr>
          <w:trHeight w:val="300"/>
          <w:jc w:val="center"/>
        </w:trPr>
        <w:tc>
          <w:tcPr>
            <w:tcW w:w="10924" w:type="dxa"/>
            <w:gridSpan w:val="6"/>
            <w:noWrap/>
          </w:tcPr>
          <w:p w:rsidR="00081A2B" w:rsidRDefault="00081A2B" w:rsidP="004D43D0">
            <w:pPr>
              <w:rPr>
                <w:b/>
              </w:rPr>
            </w:pPr>
          </w:p>
          <w:p w:rsidR="00081A2B" w:rsidRPr="00AE57F6" w:rsidRDefault="00081A2B" w:rsidP="00083C0B">
            <w:pPr>
              <w:rPr>
                <w:rFonts w:ascii="Garamond" w:hAnsi="Garamond" w:cs="Garamond"/>
                <w:color w:val="000000"/>
              </w:rPr>
            </w:pPr>
          </w:p>
        </w:tc>
      </w:tr>
      <w:tr w:rsidR="00081A2B" w:rsidRPr="00AE57F6" w:rsidTr="00C14FF3">
        <w:trPr>
          <w:trHeight w:val="300"/>
          <w:jc w:val="center"/>
        </w:trPr>
        <w:tc>
          <w:tcPr>
            <w:tcW w:w="10924" w:type="dxa"/>
            <w:gridSpan w:val="6"/>
            <w:noWrap/>
          </w:tcPr>
          <w:p w:rsidR="00081A2B" w:rsidRPr="003767F0" w:rsidRDefault="00081A2B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  <w:r w:rsidRPr="003767F0">
              <w:rPr>
                <w:rFonts w:ascii="Garamond" w:hAnsi="Garamond" w:cs="Garamond"/>
                <w:b/>
                <w:bCs/>
                <w:color w:val="000000"/>
              </w:rPr>
              <w:t xml:space="preserve">OVERALL COMMENTS:  Please provide overall strengths and weaknesses of the study </w:t>
            </w:r>
            <w:r w:rsidRPr="003767F0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to be shared with applicant(s) and </w:t>
            </w:r>
            <w:r>
              <w:rPr>
                <w:rFonts w:ascii="Garamond" w:hAnsi="Garamond" w:cs="Garamond"/>
                <w:b/>
                <w:bCs/>
                <w:color w:val="000000"/>
                <w:u w:val="single"/>
              </w:rPr>
              <w:t>the Research Review Panel</w:t>
            </w:r>
            <w:r w:rsidR="008200F8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 (RRP)</w:t>
            </w:r>
            <w:r w:rsidRPr="003767F0">
              <w:rPr>
                <w:rFonts w:ascii="Garamond" w:hAnsi="Garamond" w:cs="Garamond"/>
                <w:b/>
                <w:bCs/>
                <w:color w:val="000000"/>
              </w:rPr>
              <w:t>.</w:t>
            </w:r>
          </w:p>
          <w:p w:rsidR="00081A2B" w:rsidRPr="003767F0" w:rsidRDefault="00081A2B" w:rsidP="005831A7">
            <w:pPr>
              <w:rPr>
                <w:rFonts w:ascii="Garamond" w:hAnsi="Garamond" w:cs="Garamond"/>
                <w:b/>
                <w:bCs/>
                <w:color w:val="000000"/>
              </w:rPr>
            </w:pPr>
          </w:p>
          <w:p w:rsidR="00081A2B" w:rsidRDefault="00081A2B" w:rsidP="005831A7">
            <w:pPr>
              <w:rPr>
                <w:rFonts w:ascii="Garamond" w:hAnsi="Garamond" w:cs="Garamond"/>
                <w:b/>
                <w:bCs/>
                <w:color w:val="000000"/>
                <w:highlight w:val="yellow"/>
              </w:rPr>
            </w:pPr>
          </w:p>
          <w:p w:rsidR="00081A2B" w:rsidRDefault="00081A2B" w:rsidP="005831A7">
            <w:pPr>
              <w:rPr>
                <w:rFonts w:ascii="Garamond" w:hAnsi="Garamond" w:cs="Garamond"/>
                <w:b/>
                <w:bCs/>
                <w:color w:val="000000"/>
                <w:highlight w:val="yellow"/>
              </w:rPr>
            </w:pPr>
          </w:p>
          <w:p w:rsidR="00081A2B" w:rsidRPr="00AE57F6" w:rsidRDefault="00081A2B" w:rsidP="005831A7">
            <w:pPr>
              <w:rPr>
                <w:rFonts w:ascii="Garamond" w:hAnsi="Garamond" w:cs="Garamond"/>
                <w:b/>
                <w:bCs/>
                <w:color w:val="000000"/>
                <w:highlight w:val="yellow"/>
              </w:rPr>
            </w:pPr>
          </w:p>
        </w:tc>
      </w:tr>
    </w:tbl>
    <w:p w:rsidR="00704F0B" w:rsidRPr="00827B6A" w:rsidRDefault="00014759" w:rsidP="00CD3B5B">
      <w:pPr>
        <w:rPr>
          <w:rFonts w:ascii="Garamond" w:hAnsi="Garamond" w:cs="Garamond"/>
          <w:sz w:val="18"/>
          <w:szCs w:val="18"/>
        </w:rPr>
      </w:pPr>
      <w:r w:rsidRPr="00827B6A">
        <w:rPr>
          <w:rFonts w:ascii="Garamond" w:hAnsi="Garamond" w:cs="Garamond"/>
          <w:sz w:val="18"/>
          <w:szCs w:val="18"/>
        </w:rPr>
        <w:t>Rev</w:t>
      </w:r>
      <w:r w:rsidR="00704F0B">
        <w:rPr>
          <w:rFonts w:ascii="Garamond" w:hAnsi="Garamond" w:cs="Garamond"/>
          <w:sz w:val="18"/>
          <w:szCs w:val="18"/>
        </w:rPr>
        <w:t>.</w:t>
      </w:r>
      <w:r w:rsidR="00081A2B">
        <w:rPr>
          <w:rFonts w:ascii="Garamond" w:hAnsi="Garamond" w:cs="Garamond"/>
          <w:sz w:val="18"/>
          <w:szCs w:val="18"/>
        </w:rPr>
        <w:t xml:space="preserve"> </w:t>
      </w:r>
      <w:r w:rsidR="00742CAA">
        <w:rPr>
          <w:rFonts w:ascii="Garamond" w:hAnsi="Garamond" w:cs="Garamond"/>
          <w:sz w:val="18"/>
          <w:szCs w:val="18"/>
        </w:rPr>
        <w:t>09</w:t>
      </w:r>
      <w:r w:rsidR="00081A2B">
        <w:rPr>
          <w:rFonts w:ascii="Garamond" w:hAnsi="Garamond" w:cs="Garamond"/>
          <w:sz w:val="18"/>
          <w:szCs w:val="18"/>
        </w:rPr>
        <w:t>/</w:t>
      </w:r>
      <w:r w:rsidR="00E66230">
        <w:rPr>
          <w:rFonts w:ascii="Garamond" w:hAnsi="Garamond" w:cs="Garamond"/>
          <w:sz w:val="18"/>
          <w:szCs w:val="18"/>
        </w:rPr>
        <w:t>30</w:t>
      </w:r>
      <w:r w:rsidR="00081A2B">
        <w:rPr>
          <w:rFonts w:ascii="Garamond" w:hAnsi="Garamond" w:cs="Garamond"/>
          <w:sz w:val="18"/>
          <w:szCs w:val="18"/>
        </w:rPr>
        <w:t>/14</w:t>
      </w:r>
    </w:p>
    <w:sectPr w:rsidR="00704F0B" w:rsidRPr="00827B6A" w:rsidSect="00DD014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B28"/>
    <w:multiLevelType w:val="hybridMultilevel"/>
    <w:tmpl w:val="0DA86A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6F279D"/>
    <w:multiLevelType w:val="hybridMultilevel"/>
    <w:tmpl w:val="CCCC2B50"/>
    <w:lvl w:ilvl="0" w:tplc="3004744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FA276D6"/>
    <w:multiLevelType w:val="hybridMultilevel"/>
    <w:tmpl w:val="EA763E40"/>
    <w:lvl w:ilvl="0" w:tplc="5AFE41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96B3C"/>
    <w:multiLevelType w:val="hybridMultilevel"/>
    <w:tmpl w:val="75A84CBE"/>
    <w:lvl w:ilvl="0" w:tplc="32F2BBE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trackRevision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7C"/>
    <w:rsid w:val="00014759"/>
    <w:rsid w:val="00046CB5"/>
    <w:rsid w:val="00047D3B"/>
    <w:rsid w:val="00056E7C"/>
    <w:rsid w:val="00063593"/>
    <w:rsid w:val="00077411"/>
    <w:rsid w:val="000777BE"/>
    <w:rsid w:val="00081A2B"/>
    <w:rsid w:val="00083C0B"/>
    <w:rsid w:val="00084772"/>
    <w:rsid w:val="00086328"/>
    <w:rsid w:val="00086CC0"/>
    <w:rsid w:val="000907B5"/>
    <w:rsid w:val="000A1D24"/>
    <w:rsid w:val="000A7A92"/>
    <w:rsid w:val="000D6883"/>
    <w:rsid w:val="000D7DFA"/>
    <w:rsid w:val="000E4EDA"/>
    <w:rsid w:val="000E7899"/>
    <w:rsid w:val="000F4569"/>
    <w:rsid w:val="000F79D8"/>
    <w:rsid w:val="0013047E"/>
    <w:rsid w:val="00147E1D"/>
    <w:rsid w:val="0016132C"/>
    <w:rsid w:val="00161979"/>
    <w:rsid w:val="00183DD3"/>
    <w:rsid w:val="00192FD6"/>
    <w:rsid w:val="00194A06"/>
    <w:rsid w:val="001A6B15"/>
    <w:rsid w:val="001D472F"/>
    <w:rsid w:val="0024188E"/>
    <w:rsid w:val="00251D17"/>
    <w:rsid w:val="002565BB"/>
    <w:rsid w:val="00260860"/>
    <w:rsid w:val="00265DD3"/>
    <w:rsid w:val="00276AC6"/>
    <w:rsid w:val="002856E8"/>
    <w:rsid w:val="002B0B70"/>
    <w:rsid w:val="002B1442"/>
    <w:rsid w:val="002B7FC9"/>
    <w:rsid w:val="002C5444"/>
    <w:rsid w:val="002D0539"/>
    <w:rsid w:val="002D4625"/>
    <w:rsid w:val="002E0077"/>
    <w:rsid w:val="002F0276"/>
    <w:rsid w:val="002F060A"/>
    <w:rsid w:val="002F61FA"/>
    <w:rsid w:val="0032165D"/>
    <w:rsid w:val="00323D44"/>
    <w:rsid w:val="003327E7"/>
    <w:rsid w:val="00342FBB"/>
    <w:rsid w:val="00354C21"/>
    <w:rsid w:val="0036190E"/>
    <w:rsid w:val="003767F0"/>
    <w:rsid w:val="00377B25"/>
    <w:rsid w:val="00392AA3"/>
    <w:rsid w:val="003A51B3"/>
    <w:rsid w:val="003B0939"/>
    <w:rsid w:val="003D3831"/>
    <w:rsid w:val="003E0802"/>
    <w:rsid w:val="003E1256"/>
    <w:rsid w:val="003E5EF6"/>
    <w:rsid w:val="003F34BF"/>
    <w:rsid w:val="00400FEB"/>
    <w:rsid w:val="00437671"/>
    <w:rsid w:val="004514C1"/>
    <w:rsid w:val="00466A33"/>
    <w:rsid w:val="004745E8"/>
    <w:rsid w:val="004806E0"/>
    <w:rsid w:val="004856D8"/>
    <w:rsid w:val="004B2ABC"/>
    <w:rsid w:val="004B4D8B"/>
    <w:rsid w:val="004C1A91"/>
    <w:rsid w:val="004D43D0"/>
    <w:rsid w:val="004D679E"/>
    <w:rsid w:val="004E2471"/>
    <w:rsid w:val="00506F16"/>
    <w:rsid w:val="00517466"/>
    <w:rsid w:val="005322FE"/>
    <w:rsid w:val="00535D7D"/>
    <w:rsid w:val="005532DA"/>
    <w:rsid w:val="005644F4"/>
    <w:rsid w:val="00564D3E"/>
    <w:rsid w:val="005727C1"/>
    <w:rsid w:val="005831A7"/>
    <w:rsid w:val="00597F9B"/>
    <w:rsid w:val="005A5384"/>
    <w:rsid w:val="005C6803"/>
    <w:rsid w:val="005D1524"/>
    <w:rsid w:val="005D2AE1"/>
    <w:rsid w:val="005E4D31"/>
    <w:rsid w:val="005E5A34"/>
    <w:rsid w:val="005F161E"/>
    <w:rsid w:val="006036B3"/>
    <w:rsid w:val="0062046D"/>
    <w:rsid w:val="00660AD4"/>
    <w:rsid w:val="00665896"/>
    <w:rsid w:val="006660D3"/>
    <w:rsid w:val="006728FB"/>
    <w:rsid w:val="006B364C"/>
    <w:rsid w:val="006B45BD"/>
    <w:rsid w:val="006B5729"/>
    <w:rsid w:val="006C3606"/>
    <w:rsid w:val="006C63BF"/>
    <w:rsid w:val="006E074D"/>
    <w:rsid w:val="006E1241"/>
    <w:rsid w:val="006F3180"/>
    <w:rsid w:val="00700339"/>
    <w:rsid w:val="00704F0B"/>
    <w:rsid w:val="00707167"/>
    <w:rsid w:val="007233E0"/>
    <w:rsid w:val="00742CAA"/>
    <w:rsid w:val="007505F9"/>
    <w:rsid w:val="00774804"/>
    <w:rsid w:val="007A4DC3"/>
    <w:rsid w:val="007D57AC"/>
    <w:rsid w:val="00815233"/>
    <w:rsid w:val="008200F8"/>
    <w:rsid w:val="0082078E"/>
    <w:rsid w:val="00825EC4"/>
    <w:rsid w:val="00827B6A"/>
    <w:rsid w:val="00851CC8"/>
    <w:rsid w:val="008629B0"/>
    <w:rsid w:val="00873014"/>
    <w:rsid w:val="00882A7A"/>
    <w:rsid w:val="008855BD"/>
    <w:rsid w:val="008B170E"/>
    <w:rsid w:val="008B6D61"/>
    <w:rsid w:val="008C070D"/>
    <w:rsid w:val="008C6DC1"/>
    <w:rsid w:val="008D4A32"/>
    <w:rsid w:val="008D4EA6"/>
    <w:rsid w:val="008F6821"/>
    <w:rsid w:val="009102ED"/>
    <w:rsid w:val="00921A7B"/>
    <w:rsid w:val="009323CE"/>
    <w:rsid w:val="009333E1"/>
    <w:rsid w:val="009361B6"/>
    <w:rsid w:val="00956D90"/>
    <w:rsid w:val="00961466"/>
    <w:rsid w:val="00962628"/>
    <w:rsid w:val="009679B0"/>
    <w:rsid w:val="009945BC"/>
    <w:rsid w:val="009B0E95"/>
    <w:rsid w:val="009C37AF"/>
    <w:rsid w:val="009D15BE"/>
    <w:rsid w:val="009E7EC6"/>
    <w:rsid w:val="00A059B0"/>
    <w:rsid w:val="00A071A4"/>
    <w:rsid w:val="00A4039D"/>
    <w:rsid w:val="00A416D4"/>
    <w:rsid w:val="00A43878"/>
    <w:rsid w:val="00A52772"/>
    <w:rsid w:val="00A6467F"/>
    <w:rsid w:val="00A73DB5"/>
    <w:rsid w:val="00A84CC3"/>
    <w:rsid w:val="00A92677"/>
    <w:rsid w:val="00A958BD"/>
    <w:rsid w:val="00AA7C46"/>
    <w:rsid w:val="00AD7FD2"/>
    <w:rsid w:val="00AE4CCA"/>
    <w:rsid w:val="00AE57F6"/>
    <w:rsid w:val="00B30A83"/>
    <w:rsid w:val="00B60049"/>
    <w:rsid w:val="00B63B5D"/>
    <w:rsid w:val="00B81953"/>
    <w:rsid w:val="00BA1900"/>
    <w:rsid w:val="00BA4B30"/>
    <w:rsid w:val="00BA6D63"/>
    <w:rsid w:val="00BB2C7D"/>
    <w:rsid w:val="00C069C8"/>
    <w:rsid w:val="00C06A15"/>
    <w:rsid w:val="00C07DDB"/>
    <w:rsid w:val="00C12611"/>
    <w:rsid w:val="00C14FF3"/>
    <w:rsid w:val="00C34EDD"/>
    <w:rsid w:val="00C468CB"/>
    <w:rsid w:val="00C4720C"/>
    <w:rsid w:val="00C50AAA"/>
    <w:rsid w:val="00C50C8E"/>
    <w:rsid w:val="00C63EAD"/>
    <w:rsid w:val="00C70F63"/>
    <w:rsid w:val="00C81A06"/>
    <w:rsid w:val="00C938B8"/>
    <w:rsid w:val="00CB1DB5"/>
    <w:rsid w:val="00CC7971"/>
    <w:rsid w:val="00CD3B5B"/>
    <w:rsid w:val="00CE4D20"/>
    <w:rsid w:val="00CF0DDF"/>
    <w:rsid w:val="00CF642A"/>
    <w:rsid w:val="00D04734"/>
    <w:rsid w:val="00D07BC8"/>
    <w:rsid w:val="00D1158E"/>
    <w:rsid w:val="00D17C9B"/>
    <w:rsid w:val="00D20532"/>
    <w:rsid w:val="00D3148D"/>
    <w:rsid w:val="00D36CDF"/>
    <w:rsid w:val="00D86FB0"/>
    <w:rsid w:val="00DC4AF1"/>
    <w:rsid w:val="00DC540A"/>
    <w:rsid w:val="00DC672E"/>
    <w:rsid w:val="00DD0146"/>
    <w:rsid w:val="00DE0F88"/>
    <w:rsid w:val="00DF7383"/>
    <w:rsid w:val="00E04B86"/>
    <w:rsid w:val="00E073D0"/>
    <w:rsid w:val="00E31D30"/>
    <w:rsid w:val="00E33A03"/>
    <w:rsid w:val="00E5570C"/>
    <w:rsid w:val="00E632F3"/>
    <w:rsid w:val="00E66230"/>
    <w:rsid w:val="00E67AE3"/>
    <w:rsid w:val="00E76757"/>
    <w:rsid w:val="00E8699F"/>
    <w:rsid w:val="00E914C0"/>
    <w:rsid w:val="00EA1CFC"/>
    <w:rsid w:val="00EB3E57"/>
    <w:rsid w:val="00EB65E3"/>
    <w:rsid w:val="00EC228B"/>
    <w:rsid w:val="00EF0784"/>
    <w:rsid w:val="00EF0F7B"/>
    <w:rsid w:val="00EF6DDD"/>
    <w:rsid w:val="00F07DC9"/>
    <w:rsid w:val="00F116C1"/>
    <w:rsid w:val="00F1562C"/>
    <w:rsid w:val="00F34F40"/>
    <w:rsid w:val="00F53287"/>
    <w:rsid w:val="00F533AC"/>
    <w:rsid w:val="00F71B32"/>
    <w:rsid w:val="00F93266"/>
    <w:rsid w:val="00F96430"/>
    <w:rsid w:val="00FA0EFD"/>
    <w:rsid w:val="00FD543D"/>
    <w:rsid w:val="00FE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6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99"/>
    <w:qFormat/>
    <w:rsid w:val="004806E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AE57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532D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6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92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26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6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62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6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628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3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6E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99"/>
    <w:qFormat/>
    <w:rsid w:val="004806E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AE57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532D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66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92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2F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262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62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62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6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628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1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n.org/aboutnln/corevalues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ln.org/researchgrants/priorities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F8701-652B-4CEB-AB53-B13381B2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League for Nursing</vt:lpstr>
    </vt:vector>
  </TitlesOfParts>
  <Company>NLN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League for Nursing</dc:title>
  <dc:creator>thomas Frenn</dc:creator>
  <cp:lastModifiedBy>Amy McGuire</cp:lastModifiedBy>
  <cp:revision>3</cp:revision>
  <cp:lastPrinted>2011-06-06T02:21:00Z</cp:lastPrinted>
  <dcterms:created xsi:type="dcterms:W3CDTF">2014-09-30T17:21:00Z</dcterms:created>
  <dcterms:modified xsi:type="dcterms:W3CDTF">2014-09-30T18:11:00Z</dcterms:modified>
</cp:coreProperties>
</file>